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705" w:rsidRDefault="00A15705" w:rsidP="00A15705">
      <w:pPr>
        <w:spacing w:after="0"/>
        <w:ind w:left="-142" w:right="-573"/>
        <w:jc w:val="both"/>
        <w:rPr>
          <w:rFonts w:cs="Calibri"/>
          <w:color w:val="595959" w:themeColor="text1" w:themeTint="A6"/>
          <w:szCs w:val="32"/>
        </w:rPr>
      </w:pPr>
      <w:r w:rsidRPr="00316D71">
        <w:rPr>
          <w:rFonts w:cs="Calibri"/>
          <w:noProof/>
          <w:color w:val="595959" w:themeColor="text1" w:themeTint="A6"/>
          <w:szCs w:val="32"/>
          <w:lang w:eastAsia="fr-FR"/>
        </w:rPr>
        <w:drawing>
          <wp:inline distT="0" distB="0" distL="0" distR="0">
            <wp:extent cx="1356244" cy="684000"/>
            <wp:effectExtent l="25400" t="0" r="0" b="0"/>
            <wp:docPr id="4" name="Image 1" descr=":CIMbéton (logo à envoy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Mbéton (logo à envoyer).tif"/>
                    <pic:cNvPicPr>
                      <a:picLocks noChangeAspect="1" noChangeArrowheads="1"/>
                    </pic:cNvPicPr>
                  </pic:nvPicPr>
                  <pic:blipFill>
                    <a:blip r:embed="rId7"/>
                    <a:srcRect/>
                    <a:stretch>
                      <a:fillRect/>
                    </a:stretch>
                  </pic:blipFill>
                  <pic:spPr bwMode="auto">
                    <a:xfrm>
                      <a:off x="0" y="0"/>
                      <a:ext cx="1356244" cy="684000"/>
                    </a:xfrm>
                    <a:prstGeom prst="rect">
                      <a:avLst/>
                    </a:prstGeom>
                    <a:noFill/>
                    <a:ln w="9525">
                      <a:noFill/>
                      <a:miter lim="800000"/>
                      <a:headEnd/>
                      <a:tailEnd/>
                    </a:ln>
                  </pic:spPr>
                </pic:pic>
              </a:graphicData>
            </a:graphic>
          </wp:inline>
        </w:drawing>
      </w:r>
      <w:r>
        <w:rPr>
          <w:rFonts w:cs="Calibri"/>
          <w:color w:val="595959" w:themeColor="text1" w:themeTint="A6"/>
          <w:szCs w:val="32"/>
        </w:rPr>
        <w:t xml:space="preserve">       </w:t>
      </w:r>
      <w:r w:rsidRPr="00216CFA">
        <w:rPr>
          <w:rFonts w:cs="Calibri"/>
          <w:noProof/>
          <w:color w:val="595959" w:themeColor="text1" w:themeTint="A6"/>
          <w:szCs w:val="32"/>
          <w:lang w:eastAsia="fr-FR"/>
        </w:rPr>
        <w:drawing>
          <wp:inline distT="0" distB="0" distL="0" distR="0">
            <wp:extent cx="1557266" cy="1063383"/>
            <wp:effectExtent l="25400" t="0" r="0" b="0"/>
            <wp:docPr id="3" name="Image 2" descr=":FIB 16-2:LOGOS FIB:logo-FIB-NEW-BAS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B 16-2:LOGOS FIB:logo-FIB-NEW-BASELINE.png"/>
                    <pic:cNvPicPr>
                      <a:picLocks noChangeAspect="1" noChangeArrowheads="1"/>
                    </pic:cNvPicPr>
                  </pic:nvPicPr>
                  <pic:blipFill>
                    <a:blip r:embed="rId8"/>
                    <a:srcRect/>
                    <a:stretch>
                      <a:fillRect/>
                    </a:stretch>
                  </pic:blipFill>
                  <pic:spPr bwMode="auto">
                    <a:xfrm>
                      <a:off x="0" y="0"/>
                      <a:ext cx="1557266" cy="1063383"/>
                    </a:xfrm>
                    <a:prstGeom prst="rect">
                      <a:avLst/>
                    </a:prstGeom>
                    <a:noFill/>
                    <a:ln w="9525">
                      <a:noFill/>
                      <a:miter lim="800000"/>
                      <a:headEnd/>
                      <a:tailEnd/>
                    </a:ln>
                  </pic:spPr>
                </pic:pic>
              </a:graphicData>
            </a:graphic>
          </wp:inline>
        </w:drawing>
      </w:r>
      <w:r w:rsidRPr="001E7FB5">
        <w:rPr>
          <w:noProof/>
          <w:lang w:eastAsia="fr-FR"/>
        </w:rPr>
        <w:t xml:space="preserve"> </w:t>
      </w:r>
      <w:r>
        <w:rPr>
          <w:rFonts w:cs="Calibri"/>
          <w:noProof/>
          <w:color w:val="595959" w:themeColor="text1" w:themeTint="A6"/>
          <w:szCs w:val="32"/>
          <w:lang w:eastAsia="fr-FR"/>
        </w:rPr>
        <w:t xml:space="preserve">       </w:t>
      </w:r>
      <w:r w:rsidRPr="001E7FB5">
        <w:rPr>
          <w:rFonts w:cs="Calibri"/>
          <w:noProof/>
          <w:color w:val="595959" w:themeColor="text1" w:themeTint="A6"/>
          <w:szCs w:val="32"/>
          <w:lang w:eastAsia="fr-FR"/>
        </w:rPr>
        <w:drawing>
          <wp:inline distT="0" distB="0" distL="0" distR="0">
            <wp:extent cx="765070" cy="1249346"/>
            <wp:effectExtent l="25400" t="0" r="0" b="0"/>
            <wp:docPr id="23" name="Image 2" descr="Macintosh HD:Users:Patricia:Desktop:FIB 16-2:LOGOS FIB:S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tricia:Desktop:FIB 16-2:LOGOS FIB:SSB.jpg"/>
                    <pic:cNvPicPr>
                      <a:picLocks noChangeAspect="1" noChangeArrowheads="1"/>
                    </pic:cNvPicPr>
                  </pic:nvPicPr>
                  <pic:blipFill>
                    <a:blip r:embed="rId9"/>
                    <a:srcRect/>
                    <a:stretch>
                      <a:fillRect/>
                    </a:stretch>
                  </pic:blipFill>
                  <pic:spPr bwMode="auto">
                    <a:xfrm>
                      <a:off x="0" y="0"/>
                      <a:ext cx="765070" cy="1249346"/>
                    </a:xfrm>
                    <a:prstGeom prst="rect">
                      <a:avLst/>
                    </a:prstGeom>
                    <a:noFill/>
                    <a:ln w="9525">
                      <a:noFill/>
                      <a:miter lim="800000"/>
                      <a:headEnd/>
                      <a:tailEnd/>
                    </a:ln>
                  </pic:spPr>
                </pic:pic>
              </a:graphicData>
            </a:graphic>
          </wp:inline>
        </w:drawing>
      </w:r>
      <w:r>
        <w:rPr>
          <w:rFonts w:cs="Calibri"/>
          <w:noProof/>
          <w:color w:val="595959" w:themeColor="text1" w:themeTint="A6"/>
          <w:szCs w:val="32"/>
          <w:lang w:eastAsia="fr-FR"/>
        </w:rPr>
        <w:t xml:space="preserve">         </w:t>
      </w:r>
      <w:r w:rsidRPr="00216CFA">
        <w:rPr>
          <w:rFonts w:cs="Calibri"/>
          <w:noProof/>
          <w:color w:val="595959" w:themeColor="text1" w:themeTint="A6"/>
          <w:szCs w:val="32"/>
          <w:lang w:eastAsia="fr-FR"/>
        </w:rPr>
        <w:drawing>
          <wp:inline distT="0" distB="0" distL="0" distR="0">
            <wp:extent cx="1645595" cy="531168"/>
            <wp:effectExtent l="25400" t="0" r="5405"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645595" cy="531168"/>
                    </a:xfrm>
                    <a:prstGeom prst="rect">
                      <a:avLst/>
                    </a:prstGeom>
                    <a:noFill/>
                    <a:ln w="9525">
                      <a:noFill/>
                      <a:miter lim="800000"/>
                      <a:headEnd/>
                      <a:tailEnd/>
                    </a:ln>
                  </pic:spPr>
                </pic:pic>
              </a:graphicData>
            </a:graphic>
          </wp:inline>
        </w:drawing>
      </w:r>
    </w:p>
    <w:p w:rsidR="00A15705" w:rsidRPr="00CB214B" w:rsidRDefault="00A15705" w:rsidP="00A15705">
      <w:pPr>
        <w:tabs>
          <w:tab w:val="left" w:pos="2460"/>
          <w:tab w:val="left" w:pos="2832"/>
          <w:tab w:val="left" w:pos="5997"/>
        </w:tabs>
        <w:spacing w:after="0"/>
        <w:ind w:left="360"/>
        <w:jc w:val="both"/>
        <w:rPr>
          <w:rFonts w:ascii="Helvetica" w:hAnsi="Helvetica" w:cs="Calibri"/>
          <w:color w:val="595959" w:themeColor="text1" w:themeTint="A6"/>
          <w:szCs w:val="32"/>
        </w:rPr>
      </w:pPr>
      <w:r>
        <w:rPr>
          <w:rFonts w:cs="Calibri"/>
          <w:color w:val="595959" w:themeColor="text1" w:themeTint="A6"/>
          <w:szCs w:val="32"/>
        </w:rPr>
        <w:tab/>
        <w:t xml:space="preserve">              </w:t>
      </w:r>
      <w:r w:rsidRPr="00CB214B">
        <w:rPr>
          <w:rFonts w:ascii="Helvetica" w:hAnsi="Helvetica" w:cs="Calibri"/>
          <w:color w:val="595959" w:themeColor="text1" w:themeTint="A6"/>
          <w:szCs w:val="32"/>
        </w:rPr>
        <w:tab/>
        <w:t xml:space="preserve">        </w:t>
      </w:r>
    </w:p>
    <w:p w:rsidR="00C4090C" w:rsidRDefault="00C4090C" w:rsidP="00C4090C">
      <w:pPr>
        <w:spacing w:after="0"/>
        <w:ind w:left="360" w:right="-574"/>
        <w:jc w:val="both"/>
        <w:rPr>
          <w:rFonts w:ascii="Helvetica" w:hAnsi="Helvetica" w:cs="Calibri"/>
          <w:color w:val="595959" w:themeColor="text1" w:themeTint="A6"/>
          <w:szCs w:val="32"/>
        </w:rPr>
      </w:pPr>
      <w:r>
        <w:rPr>
          <w:rFonts w:ascii="Helvetica" w:hAnsi="Helvetica" w:cs="Calibri"/>
          <w:color w:val="595959" w:themeColor="text1" w:themeTint="A6"/>
          <w:szCs w:val="32"/>
        </w:rPr>
        <w:tab/>
      </w:r>
      <w:r>
        <w:rPr>
          <w:rFonts w:ascii="Helvetica" w:hAnsi="Helvetica" w:cs="Calibri"/>
          <w:color w:val="595959" w:themeColor="text1" w:themeTint="A6"/>
          <w:szCs w:val="32"/>
        </w:rPr>
        <w:tab/>
      </w:r>
      <w:r>
        <w:rPr>
          <w:rFonts w:ascii="Helvetica" w:hAnsi="Helvetica" w:cs="Calibri"/>
          <w:color w:val="595959" w:themeColor="text1" w:themeTint="A6"/>
          <w:szCs w:val="32"/>
        </w:rPr>
        <w:tab/>
      </w:r>
      <w:r>
        <w:rPr>
          <w:rFonts w:ascii="Helvetica" w:hAnsi="Helvetica" w:cs="Calibri"/>
          <w:color w:val="595959" w:themeColor="text1" w:themeTint="A6"/>
          <w:szCs w:val="32"/>
        </w:rPr>
        <w:tab/>
      </w:r>
      <w:r>
        <w:rPr>
          <w:rFonts w:ascii="Helvetica" w:hAnsi="Helvetica" w:cs="Calibri"/>
          <w:color w:val="595959" w:themeColor="text1" w:themeTint="A6"/>
          <w:szCs w:val="32"/>
        </w:rPr>
        <w:tab/>
      </w:r>
      <w:r>
        <w:rPr>
          <w:rFonts w:ascii="Helvetica" w:hAnsi="Helvetica" w:cs="Calibri"/>
          <w:color w:val="595959" w:themeColor="text1" w:themeTint="A6"/>
          <w:szCs w:val="32"/>
        </w:rPr>
        <w:tab/>
      </w:r>
      <w:r>
        <w:rPr>
          <w:rFonts w:ascii="Helvetica" w:hAnsi="Helvetica" w:cs="Calibri"/>
          <w:color w:val="595959" w:themeColor="text1" w:themeTint="A6"/>
          <w:szCs w:val="32"/>
        </w:rPr>
        <w:tab/>
      </w:r>
      <w:r>
        <w:rPr>
          <w:rFonts w:ascii="Helvetica" w:hAnsi="Helvetica" w:cs="Calibri"/>
          <w:color w:val="595959" w:themeColor="text1" w:themeTint="A6"/>
          <w:szCs w:val="32"/>
        </w:rPr>
        <w:tab/>
        <w:t xml:space="preserve">         </w:t>
      </w:r>
      <w:r w:rsidR="002D3B35" w:rsidRPr="002D3B35">
        <w:rPr>
          <w:rFonts w:asciiTheme="majorHAnsi" w:hAnsiTheme="majorHAnsi" w:cs="Verdana"/>
          <w:b/>
          <w:bCs/>
          <w:color w:val="CA277D"/>
        </w:rPr>
        <w:t>Communiqué de presse</w:t>
      </w:r>
      <w:r w:rsidR="00A15705" w:rsidRPr="002D3B35">
        <w:rPr>
          <w:rFonts w:asciiTheme="majorHAnsi" w:hAnsiTheme="majorHAnsi" w:cs="Verdana"/>
          <w:b/>
          <w:bCs/>
          <w:color w:val="595959" w:themeColor="text1" w:themeTint="A6"/>
        </w:rPr>
        <w:t xml:space="preserve"> - </w:t>
      </w:r>
      <w:r w:rsidR="00A15705" w:rsidRPr="002D3B35">
        <w:rPr>
          <w:rFonts w:asciiTheme="majorHAnsi" w:hAnsiTheme="majorHAnsi" w:cs="Calibri"/>
          <w:color w:val="595959" w:themeColor="text1" w:themeTint="A6"/>
          <w:szCs w:val="32"/>
        </w:rPr>
        <w:t>4 janvier 2019</w:t>
      </w:r>
    </w:p>
    <w:p w:rsidR="00A15705" w:rsidRPr="00C4090C" w:rsidRDefault="00A15705" w:rsidP="00C4090C">
      <w:pPr>
        <w:spacing w:after="0"/>
        <w:ind w:left="360" w:right="-574"/>
        <w:jc w:val="both"/>
        <w:rPr>
          <w:rFonts w:ascii="Helvetica" w:hAnsi="Helvetica" w:cs="Calibri"/>
          <w:color w:val="595959" w:themeColor="text1" w:themeTint="A6"/>
          <w:szCs w:val="32"/>
        </w:rPr>
      </w:pPr>
    </w:p>
    <w:tbl>
      <w:tblPr>
        <w:tblW w:w="10194" w:type="dxa"/>
        <w:jc w:val="center"/>
        <w:tblLook w:val="04A0" w:firstRow="1" w:lastRow="0" w:firstColumn="1" w:lastColumn="0" w:noHBand="0" w:noVBand="1"/>
      </w:tblPr>
      <w:tblGrid>
        <w:gridCol w:w="10194"/>
      </w:tblGrid>
      <w:tr w:rsidR="00A15705" w:rsidRPr="00D750B0">
        <w:trPr>
          <w:jc w:val="center"/>
        </w:trPr>
        <w:tc>
          <w:tcPr>
            <w:tcW w:w="10194" w:type="dxa"/>
            <w:shd w:val="clear" w:color="auto" w:fill="F2F2F2" w:themeFill="background1" w:themeFillShade="F2"/>
          </w:tcPr>
          <w:p w:rsidR="00C4090C" w:rsidRPr="00C4090C" w:rsidRDefault="00F43AB5" w:rsidP="00C4090C">
            <w:pPr>
              <w:spacing w:after="120"/>
              <w:jc w:val="center"/>
              <w:rPr>
                <w:rFonts w:asciiTheme="majorHAnsi" w:hAnsiTheme="majorHAnsi"/>
                <w:b/>
                <w:color w:val="4F81BD" w:themeColor="accent1"/>
                <w:sz w:val="28"/>
              </w:rPr>
            </w:pPr>
            <w:r>
              <w:rPr>
                <w:rFonts w:asciiTheme="majorHAnsi" w:hAnsiTheme="majorHAnsi"/>
                <w:b/>
                <w:noProof/>
                <w:color w:val="1F497D" w:themeColor="text2"/>
                <w:sz w:val="28"/>
                <w:lang w:eastAsia="fr-FR"/>
              </w:rPr>
              <w:drawing>
                <wp:inline distT="0" distB="0" distL="0" distR="0">
                  <wp:extent cx="1796313" cy="996495"/>
                  <wp:effectExtent l="25400" t="0" r="7087" b="0"/>
                  <wp:docPr id="9" name="Image 2" descr=":Capture d’écran 2018-12-26 à 15.5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d’écran 2018-12-26 à 15.55.08.png"/>
                          <pic:cNvPicPr>
                            <a:picLocks noChangeAspect="1" noChangeArrowheads="1"/>
                          </pic:cNvPicPr>
                        </pic:nvPicPr>
                        <pic:blipFill>
                          <a:blip r:embed="rId11"/>
                          <a:srcRect/>
                          <a:stretch>
                            <a:fillRect/>
                          </a:stretch>
                        </pic:blipFill>
                        <pic:spPr bwMode="auto">
                          <a:xfrm>
                            <a:off x="0" y="0"/>
                            <a:ext cx="1796313" cy="996495"/>
                          </a:xfrm>
                          <a:prstGeom prst="rect">
                            <a:avLst/>
                          </a:prstGeom>
                          <a:noFill/>
                          <a:ln w="9525">
                            <a:noFill/>
                            <a:miter lim="800000"/>
                            <a:headEnd/>
                            <a:tailEnd/>
                          </a:ln>
                        </pic:spPr>
                      </pic:pic>
                    </a:graphicData>
                  </a:graphic>
                </wp:inline>
              </w:drawing>
            </w:r>
            <w:r w:rsidR="00C4090C">
              <w:rPr>
                <w:rFonts w:asciiTheme="majorHAnsi" w:hAnsiTheme="majorHAnsi"/>
                <w:b/>
                <w:color w:val="4F81BD" w:themeColor="accent1"/>
                <w:sz w:val="28"/>
              </w:rPr>
              <w:t xml:space="preserve">       </w:t>
            </w:r>
            <w:r w:rsidR="00C4090C" w:rsidRPr="00C4090C">
              <w:rPr>
                <w:rFonts w:asciiTheme="majorHAnsi" w:hAnsiTheme="majorHAnsi"/>
                <w:b/>
                <w:noProof/>
                <w:color w:val="4F81BD" w:themeColor="accent1"/>
                <w:sz w:val="28"/>
              </w:rPr>
              <w:drawing>
                <wp:inline distT="0" distB="0" distL="0" distR="0">
                  <wp:extent cx="3089126" cy="765899"/>
                  <wp:effectExtent l="25400" t="0" r="9674" b="0"/>
                  <wp:docPr id="1" name="Image 1" descr=":Capture d’écran 2018-12-16 à 15.04.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écran 2018-12-16 à 15.04.09.png"/>
                          <pic:cNvPicPr>
                            <a:picLocks noChangeAspect="1" noChangeArrowheads="1"/>
                          </pic:cNvPicPr>
                        </pic:nvPicPr>
                        <pic:blipFill>
                          <a:blip r:embed="rId12"/>
                          <a:srcRect/>
                          <a:stretch>
                            <a:fillRect/>
                          </a:stretch>
                        </pic:blipFill>
                        <pic:spPr bwMode="auto">
                          <a:xfrm>
                            <a:off x="0" y="0"/>
                            <a:ext cx="3089126" cy="765899"/>
                          </a:xfrm>
                          <a:prstGeom prst="rect">
                            <a:avLst/>
                          </a:prstGeom>
                          <a:noFill/>
                          <a:ln w="9525">
                            <a:noFill/>
                            <a:miter lim="800000"/>
                            <a:headEnd/>
                            <a:tailEnd/>
                          </a:ln>
                        </pic:spPr>
                      </pic:pic>
                    </a:graphicData>
                  </a:graphic>
                </wp:inline>
              </w:drawing>
            </w:r>
          </w:p>
          <w:p w:rsidR="00C4090C" w:rsidRDefault="00C30258" w:rsidP="00C4090C">
            <w:pPr>
              <w:spacing w:after="0"/>
              <w:jc w:val="center"/>
              <w:rPr>
                <w:rFonts w:asciiTheme="majorHAnsi" w:hAnsiTheme="majorHAnsi"/>
                <w:b/>
                <w:color w:val="4F81BD" w:themeColor="accent1"/>
                <w:sz w:val="28"/>
              </w:rPr>
            </w:pPr>
            <w:r w:rsidRPr="00C30258">
              <w:rPr>
                <w:rFonts w:asciiTheme="majorHAnsi" w:hAnsiTheme="majorHAnsi"/>
                <w:b/>
                <w:color w:val="4F81BD" w:themeColor="accent1"/>
                <w:sz w:val="28"/>
              </w:rPr>
              <w:t xml:space="preserve">Le </w:t>
            </w:r>
            <w:r w:rsidRPr="00C677C9">
              <w:rPr>
                <w:rFonts w:asciiTheme="majorHAnsi" w:hAnsiTheme="majorHAnsi"/>
                <w:b/>
                <w:color w:val="4F81BD" w:themeColor="accent1"/>
                <w:sz w:val="28"/>
              </w:rPr>
              <w:t>Village Béton sous la bannière des Smart Systèmes en Béton</w:t>
            </w:r>
            <w:r w:rsidR="00463B7D">
              <w:rPr>
                <w:rFonts w:asciiTheme="majorHAnsi" w:hAnsiTheme="majorHAnsi"/>
                <w:b/>
                <w:color w:val="4F81BD" w:themeColor="accent1"/>
                <w:sz w:val="28"/>
              </w:rPr>
              <w:t> :</w:t>
            </w:r>
            <w:r w:rsidR="00C4090C">
              <w:rPr>
                <w:rFonts w:asciiTheme="majorHAnsi" w:hAnsiTheme="majorHAnsi"/>
                <w:b/>
                <w:color w:val="1F497D" w:themeColor="text2"/>
                <w:sz w:val="28"/>
              </w:rPr>
              <w:t xml:space="preserve"> </w:t>
            </w:r>
            <w:r w:rsidR="00463B7D">
              <w:rPr>
                <w:rFonts w:asciiTheme="majorHAnsi" w:hAnsiTheme="majorHAnsi"/>
                <w:b/>
                <w:color w:val="4F81BD" w:themeColor="accent1"/>
                <w:sz w:val="28"/>
              </w:rPr>
              <w:t xml:space="preserve">un cadre </w:t>
            </w:r>
          </w:p>
          <w:p w:rsidR="00A15705" w:rsidRPr="00C4090C" w:rsidRDefault="00463B7D" w:rsidP="00C4090C">
            <w:pPr>
              <w:spacing w:after="0"/>
              <w:jc w:val="center"/>
              <w:rPr>
                <w:rFonts w:asciiTheme="majorHAnsi" w:hAnsiTheme="majorHAnsi"/>
                <w:b/>
                <w:color w:val="1F497D" w:themeColor="text2"/>
                <w:sz w:val="28"/>
              </w:rPr>
            </w:pPr>
            <w:proofErr w:type="gramStart"/>
            <w:r>
              <w:rPr>
                <w:rFonts w:asciiTheme="majorHAnsi" w:hAnsiTheme="majorHAnsi"/>
                <w:b/>
                <w:color w:val="4F81BD" w:themeColor="accent1"/>
                <w:sz w:val="28"/>
              </w:rPr>
              <w:t>de</w:t>
            </w:r>
            <w:proofErr w:type="gramEnd"/>
            <w:r>
              <w:rPr>
                <w:rFonts w:asciiTheme="majorHAnsi" w:hAnsiTheme="majorHAnsi"/>
                <w:b/>
                <w:color w:val="4F81BD" w:themeColor="accent1"/>
                <w:sz w:val="28"/>
              </w:rPr>
              <w:t xml:space="preserve"> réflexion collective en faveur de la gestion </w:t>
            </w:r>
            <w:r w:rsidR="00C30258" w:rsidRPr="00C30258">
              <w:rPr>
                <w:rFonts w:asciiTheme="majorHAnsi" w:hAnsiTheme="majorHAnsi"/>
                <w:b/>
                <w:color w:val="4F81BD" w:themeColor="accent1"/>
                <w:sz w:val="28"/>
              </w:rPr>
              <w:t>responsable de l’eau</w:t>
            </w:r>
          </w:p>
        </w:tc>
      </w:tr>
    </w:tbl>
    <w:p w:rsidR="005322B1" w:rsidRDefault="005322B1" w:rsidP="00C4090C">
      <w:pPr>
        <w:spacing w:after="0"/>
        <w:ind w:right="-290"/>
        <w:jc w:val="both"/>
        <w:rPr>
          <w:rFonts w:asciiTheme="majorHAnsi" w:hAnsiTheme="majorHAnsi"/>
          <w:color w:val="595959" w:themeColor="text1" w:themeTint="A6"/>
        </w:rPr>
      </w:pPr>
    </w:p>
    <w:p w:rsidR="00C677C9" w:rsidRPr="0042157A" w:rsidRDefault="004532F8" w:rsidP="005322B1">
      <w:pPr>
        <w:spacing w:after="0"/>
        <w:ind w:left="-284" w:right="-290"/>
        <w:jc w:val="both"/>
        <w:rPr>
          <w:rFonts w:asciiTheme="majorHAnsi" w:hAnsiTheme="majorHAnsi"/>
          <w:color w:val="595959" w:themeColor="text1" w:themeTint="A6"/>
        </w:rPr>
      </w:pPr>
      <w:r w:rsidRPr="0042157A">
        <w:rPr>
          <w:rFonts w:asciiTheme="majorHAnsi" w:hAnsiTheme="majorHAnsi"/>
          <w:color w:val="595959" w:themeColor="text1" w:themeTint="A6"/>
        </w:rPr>
        <w:t xml:space="preserve">Les 30 et 31 janvier 2019, le Village Béton </w:t>
      </w:r>
      <w:r w:rsidR="00C30258" w:rsidRPr="0042157A">
        <w:rPr>
          <w:rFonts w:asciiTheme="majorHAnsi" w:hAnsiTheme="majorHAnsi"/>
          <w:color w:val="595959" w:themeColor="text1" w:themeTint="A6"/>
        </w:rPr>
        <w:t xml:space="preserve">revient </w:t>
      </w:r>
      <w:r w:rsidRPr="0042157A">
        <w:rPr>
          <w:rFonts w:asciiTheme="majorHAnsi" w:hAnsiTheme="majorHAnsi"/>
          <w:color w:val="595959" w:themeColor="text1" w:themeTint="A6"/>
        </w:rPr>
        <w:t xml:space="preserve">au Carrefour des Gestions Locales de </w:t>
      </w:r>
      <w:r w:rsidR="00C30258" w:rsidRPr="0042157A">
        <w:rPr>
          <w:rFonts w:asciiTheme="majorHAnsi" w:hAnsiTheme="majorHAnsi"/>
          <w:color w:val="595959" w:themeColor="text1" w:themeTint="A6"/>
        </w:rPr>
        <w:t>l’Eau à Rennes</w:t>
      </w:r>
      <w:r w:rsidRPr="0042157A">
        <w:rPr>
          <w:rFonts w:asciiTheme="majorHAnsi" w:hAnsiTheme="majorHAnsi"/>
          <w:b/>
          <w:color w:val="595959" w:themeColor="text1" w:themeTint="A6"/>
        </w:rPr>
        <w:t xml:space="preserve"> sous la banniè</w:t>
      </w:r>
      <w:r w:rsidR="00272912" w:rsidRPr="0042157A">
        <w:rPr>
          <w:rFonts w:asciiTheme="majorHAnsi" w:hAnsiTheme="majorHAnsi"/>
          <w:b/>
          <w:color w:val="595959" w:themeColor="text1" w:themeTint="A6"/>
        </w:rPr>
        <w:t>re des Smart Systèmes en Béton et sous l’égide des</w:t>
      </w:r>
      <w:r w:rsidRPr="0042157A">
        <w:rPr>
          <w:rFonts w:asciiTheme="majorHAnsi" w:hAnsiTheme="majorHAnsi"/>
          <w:b/>
          <w:color w:val="595959" w:themeColor="text1" w:themeTint="A6"/>
        </w:rPr>
        <w:t xml:space="preserve"> </w:t>
      </w:r>
      <w:r w:rsidR="00C30258" w:rsidRPr="0042157A">
        <w:rPr>
          <w:rFonts w:asciiTheme="majorHAnsi" w:hAnsiTheme="majorHAnsi"/>
          <w:b/>
          <w:color w:val="595959" w:themeColor="text1" w:themeTint="A6"/>
        </w:rPr>
        <w:t xml:space="preserve">institutionnels et </w:t>
      </w:r>
      <w:r w:rsidRPr="0042157A">
        <w:rPr>
          <w:rFonts w:asciiTheme="majorHAnsi" w:hAnsiTheme="majorHAnsi"/>
          <w:b/>
          <w:color w:val="595959" w:themeColor="text1" w:themeTint="A6"/>
        </w:rPr>
        <w:t xml:space="preserve">experts </w:t>
      </w:r>
      <w:r w:rsidR="00C30258" w:rsidRPr="0042157A">
        <w:rPr>
          <w:rFonts w:asciiTheme="majorHAnsi" w:hAnsiTheme="majorHAnsi"/>
          <w:b/>
          <w:color w:val="595959" w:themeColor="text1" w:themeTint="A6"/>
        </w:rPr>
        <w:t xml:space="preserve">de </w:t>
      </w:r>
      <w:r w:rsidRPr="0042157A">
        <w:rPr>
          <w:rFonts w:asciiTheme="majorHAnsi" w:hAnsiTheme="majorHAnsi"/>
          <w:b/>
          <w:color w:val="595959" w:themeColor="text1" w:themeTint="A6"/>
        </w:rPr>
        <w:t>la fili</w:t>
      </w:r>
      <w:r w:rsidR="00C30258" w:rsidRPr="0042157A">
        <w:rPr>
          <w:rFonts w:asciiTheme="majorHAnsi" w:hAnsiTheme="majorHAnsi"/>
          <w:b/>
          <w:color w:val="595959" w:themeColor="text1" w:themeTint="A6"/>
        </w:rPr>
        <w:t>ère béton </w:t>
      </w:r>
      <w:r w:rsidR="00C30258" w:rsidRPr="0042157A">
        <w:rPr>
          <w:rFonts w:asciiTheme="majorHAnsi" w:hAnsiTheme="majorHAnsi"/>
          <w:color w:val="595959" w:themeColor="text1" w:themeTint="A6"/>
        </w:rPr>
        <w:t xml:space="preserve">: FIB (Fédération de l’Industrie du Béton), </w:t>
      </w:r>
      <w:proofErr w:type="spellStart"/>
      <w:r w:rsidRPr="0042157A">
        <w:rPr>
          <w:rFonts w:asciiTheme="majorHAnsi" w:hAnsiTheme="majorHAnsi"/>
          <w:color w:val="595959" w:themeColor="text1" w:themeTint="A6"/>
        </w:rPr>
        <w:t>Cerib</w:t>
      </w:r>
      <w:proofErr w:type="spellEnd"/>
      <w:r w:rsidR="00C30258" w:rsidRPr="0042157A">
        <w:rPr>
          <w:rFonts w:asciiTheme="majorHAnsi" w:hAnsiTheme="majorHAnsi"/>
          <w:color w:val="595959" w:themeColor="text1" w:themeTint="A6"/>
        </w:rPr>
        <w:t xml:space="preserve"> (Centre d’Études et de Recherches de l’Industrie du Béton</w:t>
      </w:r>
      <w:r w:rsidR="00172435" w:rsidRPr="0042157A">
        <w:rPr>
          <w:rFonts w:asciiTheme="majorHAnsi" w:hAnsiTheme="majorHAnsi"/>
          <w:color w:val="595959" w:themeColor="text1" w:themeTint="A6"/>
        </w:rPr>
        <w:t>)</w:t>
      </w:r>
      <w:r w:rsidRPr="0042157A">
        <w:rPr>
          <w:rFonts w:asciiTheme="majorHAnsi" w:hAnsiTheme="majorHAnsi"/>
          <w:color w:val="595959" w:themeColor="text1" w:themeTint="A6"/>
        </w:rPr>
        <w:t xml:space="preserve"> et </w:t>
      </w:r>
      <w:proofErr w:type="spellStart"/>
      <w:r w:rsidRPr="0042157A">
        <w:rPr>
          <w:rFonts w:asciiTheme="majorHAnsi" w:hAnsiTheme="majorHAnsi"/>
          <w:color w:val="595959" w:themeColor="text1" w:themeTint="A6"/>
        </w:rPr>
        <w:t>CIMbéton</w:t>
      </w:r>
      <w:proofErr w:type="spellEnd"/>
      <w:r w:rsidR="00172435" w:rsidRPr="0042157A">
        <w:rPr>
          <w:rFonts w:asciiTheme="majorHAnsi" w:hAnsiTheme="majorHAnsi"/>
          <w:color w:val="595959" w:themeColor="text1" w:themeTint="A6"/>
        </w:rPr>
        <w:t xml:space="preserve"> (Centre d’I</w:t>
      </w:r>
      <w:r w:rsidR="00C30258" w:rsidRPr="0042157A">
        <w:rPr>
          <w:rFonts w:asciiTheme="majorHAnsi" w:hAnsiTheme="majorHAnsi"/>
          <w:color w:val="595959" w:themeColor="text1" w:themeTint="A6"/>
        </w:rPr>
        <w:t>nformation sur le Ciment et ses applications)</w:t>
      </w:r>
      <w:r w:rsidR="00272912" w:rsidRPr="0042157A">
        <w:rPr>
          <w:rFonts w:asciiTheme="majorHAnsi" w:hAnsiTheme="majorHAnsi"/>
          <w:color w:val="595959" w:themeColor="text1" w:themeTint="A6"/>
        </w:rPr>
        <w:t xml:space="preserve">. </w:t>
      </w:r>
      <w:r w:rsidRPr="0042157A">
        <w:rPr>
          <w:rFonts w:asciiTheme="majorHAnsi" w:hAnsiTheme="majorHAnsi"/>
          <w:color w:val="595959" w:themeColor="text1" w:themeTint="A6"/>
        </w:rPr>
        <w:t xml:space="preserve"> </w:t>
      </w:r>
    </w:p>
    <w:p w:rsidR="00C677C9" w:rsidRPr="0042157A" w:rsidRDefault="00C4090C" w:rsidP="00C677C9">
      <w:pPr>
        <w:spacing w:after="120"/>
        <w:ind w:left="-284" w:right="-290"/>
        <w:jc w:val="both"/>
        <w:rPr>
          <w:rFonts w:asciiTheme="majorHAnsi" w:hAnsiTheme="majorHAnsi"/>
          <w:b/>
          <w:color w:val="595959" w:themeColor="text1" w:themeTint="A6"/>
        </w:rPr>
      </w:pPr>
      <w:r>
        <w:rPr>
          <w:rFonts w:asciiTheme="majorHAnsi" w:hAnsiTheme="majorHAnsi"/>
          <w:color w:val="595959" w:themeColor="text1" w:themeTint="A6"/>
        </w:rPr>
        <w:t>Il proposera un espace d’échanges et de</w:t>
      </w:r>
      <w:r w:rsidR="00272912" w:rsidRPr="0042157A">
        <w:rPr>
          <w:rFonts w:asciiTheme="majorHAnsi" w:hAnsiTheme="majorHAnsi"/>
          <w:color w:val="595959" w:themeColor="text1" w:themeTint="A6"/>
        </w:rPr>
        <w:t xml:space="preserve"> réflexion collective </w:t>
      </w:r>
      <w:r w:rsidR="004532F8" w:rsidRPr="0042157A">
        <w:rPr>
          <w:rFonts w:asciiTheme="majorHAnsi" w:hAnsiTheme="majorHAnsi"/>
          <w:color w:val="595959" w:themeColor="text1" w:themeTint="A6"/>
        </w:rPr>
        <w:t xml:space="preserve">en faveur de </w:t>
      </w:r>
      <w:r w:rsidR="004A7C46" w:rsidRPr="0042157A">
        <w:rPr>
          <w:rFonts w:asciiTheme="majorHAnsi" w:hAnsiTheme="majorHAnsi"/>
          <w:color w:val="595959" w:themeColor="text1" w:themeTint="A6"/>
        </w:rPr>
        <w:t>la gestion responsable de l’eau</w:t>
      </w:r>
      <w:r w:rsidR="006D04F9" w:rsidRPr="0042157A">
        <w:rPr>
          <w:rFonts w:asciiTheme="majorHAnsi" w:hAnsiTheme="majorHAnsi"/>
          <w:color w:val="595959" w:themeColor="text1" w:themeTint="A6"/>
        </w:rPr>
        <w:t>,</w:t>
      </w:r>
      <w:r w:rsidR="004A7C46" w:rsidRPr="0042157A">
        <w:rPr>
          <w:rFonts w:asciiTheme="majorHAnsi" w:hAnsiTheme="majorHAnsi"/>
          <w:color w:val="595959" w:themeColor="text1" w:themeTint="A6"/>
        </w:rPr>
        <w:t xml:space="preserve"> </w:t>
      </w:r>
      <w:r w:rsidR="006D04F9" w:rsidRPr="0042157A">
        <w:rPr>
          <w:rFonts w:asciiTheme="majorHAnsi" w:hAnsiTheme="majorHAnsi"/>
          <w:color w:val="595959" w:themeColor="text1" w:themeTint="A6"/>
        </w:rPr>
        <w:t xml:space="preserve">notamment </w:t>
      </w:r>
      <w:r w:rsidR="00272912" w:rsidRPr="0042157A">
        <w:rPr>
          <w:rFonts w:asciiTheme="majorHAnsi" w:hAnsiTheme="majorHAnsi"/>
          <w:color w:val="595959" w:themeColor="text1" w:themeTint="A6"/>
        </w:rPr>
        <w:t>au travers de</w:t>
      </w:r>
      <w:r w:rsidR="004A7C46" w:rsidRPr="0042157A">
        <w:rPr>
          <w:rFonts w:asciiTheme="majorHAnsi" w:hAnsiTheme="majorHAnsi"/>
          <w:b/>
          <w:color w:val="595959" w:themeColor="text1" w:themeTint="A6"/>
        </w:rPr>
        <w:t xml:space="preserve"> trois conférences dédié</w:t>
      </w:r>
      <w:r w:rsidR="006D04F9" w:rsidRPr="0042157A">
        <w:rPr>
          <w:rFonts w:asciiTheme="majorHAnsi" w:hAnsiTheme="majorHAnsi"/>
          <w:b/>
          <w:color w:val="595959" w:themeColor="text1" w:themeTint="A6"/>
        </w:rPr>
        <w:t>e</w:t>
      </w:r>
      <w:r w:rsidR="004A7C46" w:rsidRPr="0042157A">
        <w:rPr>
          <w:rFonts w:asciiTheme="majorHAnsi" w:hAnsiTheme="majorHAnsi"/>
          <w:b/>
          <w:color w:val="595959" w:themeColor="text1" w:themeTint="A6"/>
        </w:rPr>
        <w:t>s à la qualit</w:t>
      </w:r>
      <w:r w:rsidR="00272912" w:rsidRPr="0042157A">
        <w:rPr>
          <w:rFonts w:asciiTheme="majorHAnsi" w:hAnsiTheme="majorHAnsi"/>
          <w:b/>
          <w:color w:val="595959" w:themeColor="text1" w:themeTint="A6"/>
        </w:rPr>
        <w:t xml:space="preserve">é des </w:t>
      </w:r>
      <w:r w:rsidR="006D04F9" w:rsidRPr="0042157A">
        <w:rPr>
          <w:rFonts w:asciiTheme="majorHAnsi" w:hAnsiTheme="majorHAnsi"/>
          <w:b/>
          <w:color w:val="595959" w:themeColor="text1" w:themeTint="A6"/>
        </w:rPr>
        <w:t>r</w:t>
      </w:r>
      <w:r>
        <w:rPr>
          <w:rFonts w:asciiTheme="majorHAnsi" w:hAnsiTheme="majorHAnsi"/>
          <w:b/>
          <w:color w:val="595959" w:themeColor="text1" w:themeTint="A6"/>
        </w:rPr>
        <w:t>éseaux d’assainissement et à la</w:t>
      </w:r>
      <w:r w:rsidR="00272912" w:rsidRPr="0042157A">
        <w:rPr>
          <w:rFonts w:asciiTheme="majorHAnsi" w:hAnsiTheme="majorHAnsi"/>
          <w:b/>
          <w:color w:val="595959" w:themeColor="text1" w:themeTint="A6"/>
        </w:rPr>
        <w:t xml:space="preserve"> gestion </w:t>
      </w:r>
      <w:r w:rsidR="006D04F9" w:rsidRPr="0042157A">
        <w:rPr>
          <w:rFonts w:asciiTheme="majorHAnsi" w:hAnsiTheme="majorHAnsi"/>
          <w:b/>
          <w:color w:val="595959" w:themeColor="text1" w:themeTint="A6"/>
        </w:rPr>
        <w:t xml:space="preserve">efficience </w:t>
      </w:r>
      <w:r w:rsidR="00272912" w:rsidRPr="0042157A">
        <w:rPr>
          <w:rFonts w:asciiTheme="majorHAnsi" w:hAnsiTheme="majorHAnsi"/>
          <w:b/>
          <w:color w:val="595959" w:themeColor="text1" w:themeTint="A6"/>
        </w:rPr>
        <w:t xml:space="preserve">des eaux pluviales dans une ville perméable. </w:t>
      </w:r>
    </w:p>
    <w:p w:rsidR="00C677C9" w:rsidRPr="0042157A" w:rsidRDefault="00C677C9" w:rsidP="00C4090C">
      <w:pPr>
        <w:spacing w:after="0"/>
        <w:ind w:left="-284" w:right="-290"/>
        <w:jc w:val="both"/>
        <w:rPr>
          <w:rFonts w:asciiTheme="majorHAnsi" w:hAnsiTheme="majorHAnsi"/>
          <w:b/>
          <w:color w:val="595959" w:themeColor="text1" w:themeTint="A6"/>
        </w:rPr>
      </w:pPr>
      <w:r w:rsidRPr="0042157A">
        <w:rPr>
          <w:rFonts w:asciiTheme="majorHAnsi" w:hAnsiTheme="majorHAnsi" w:cs="Calibri"/>
          <w:color w:val="595959" w:themeColor="text1" w:themeTint="A6"/>
          <w:szCs w:val="30"/>
        </w:rPr>
        <w:t>Pour cette édition, le Village Béton réunira</w:t>
      </w:r>
      <w:r w:rsidRPr="0042157A">
        <w:rPr>
          <w:rFonts w:asciiTheme="majorHAnsi" w:hAnsiTheme="majorHAnsi"/>
          <w:color w:val="595959" w:themeColor="text1" w:themeTint="A6"/>
        </w:rPr>
        <w:t xml:space="preserve"> </w:t>
      </w:r>
      <w:r w:rsidR="00B65185">
        <w:rPr>
          <w:rFonts w:asciiTheme="majorHAnsi" w:hAnsiTheme="majorHAnsi"/>
          <w:color w:val="595959" w:themeColor="text1" w:themeTint="A6"/>
        </w:rPr>
        <w:t>hui</w:t>
      </w:r>
      <w:r w:rsidRPr="0042157A">
        <w:rPr>
          <w:rFonts w:asciiTheme="majorHAnsi" w:hAnsiTheme="majorHAnsi"/>
          <w:color w:val="595959" w:themeColor="text1" w:themeTint="A6"/>
        </w:rPr>
        <w:t xml:space="preserve">t acteurs de l’Industrie du Béton : les </w:t>
      </w:r>
      <w:r w:rsidRPr="0042157A">
        <w:rPr>
          <w:rFonts w:asciiTheme="majorHAnsi" w:hAnsiTheme="majorHAnsi" w:cs="Calibri"/>
          <w:color w:val="595959" w:themeColor="text1" w:themeTint="A6"/>
          <w:szCs w:val="30"/>
        </w:rPr>
        <w:t xml:space="preserve">sociétés </w:t>
      </w:r>
      <w:r w:rsidR="00B65185" w:rsidRPr="00B65185">
        <w:rPr>
          <w:rFonts w:asciiTheme="majorHAnsi" w:hAnsiTheme="majorHAnsi" w:cs="Calibri"/>
          <w:b/>
          <w:color w:val="595959" w:themeColor="text1" w:themeTint="A6"/>
          <w:szCs w:val="30"/>
        </w:rPr>
        <w:t>Bétons</w:t>
      </w:r>
      <w:r w:rsidR="00B65185">
        <w:rPr>
          <w:rFonts w:asciiTheme="majorHAnsi" w:hAnsiTheme="majorHAnsi" w:cs="Calibri"/>
          <w:color w:val="595959" w:themeColor="text1" w:themeTint="A6"/>
          <w:szCs w:val="30"/>
        </w:rPr>
        <w:t xml:space="preserve"> </w:t>
      </w:r>
      <w:proofErr w:type="spellStart"/>
      <w:r w:rsidR="00B65185" w:rsidRPr="0042157A">
        <w:rPr>
          <w:rFonts w:asciiTheme="majorHAnsi" w:hAnsiTheme="majorHAnsi" w:cs="Calibri"/>
          <w:b/>
          <w:color w:val="595959" w:themeColor="text1" w:themeTint="A6"/>
          <w:szCs w:val="30"/>
        </w:rPr>
        <w:t>Libaud</w:t>
      </w:r>
      <w:proofErr w:type="spellEnd"/>
      <w:r w:rsidR="00B65185">
        <w:rPr>
          <w:rFonts w:asciiTheme="majorHAnsi" w:hAnsiTheme="majorHAnsi" w:cs="Calibri"/>
          <w:b/>
          <w:color w:val="595959" w:themeColor="text1" w:themeTint="A6"/>
          <w:szCs w:val="30"/>
        </w:rPr>
        <w:t xml:space="preserve">, </w:t>
      </w:r>
      <w:proofErr w:type="spellStart"/>
      <w:r w:rsidRPr="0042157A">
        <w:rPr>
          <w:rFonts w:asciiTheme="majorHAnsi" w:hAnsiTheme="majorHAnsi" w:cs="Calibri"/>
          <w:b/>
          <w:color w:val="595959" w:themeColor="text1" w:themeTint="A6"/>
          <w:szCs w:val="30"/>
        </w:rPr>
        <w:t>Blard</w:t>
      </w:r>
      <w:proofErr w:type="spellEnd"/>
      <w:r w:rsidRPr="0042157A">
        <w:rPr>
          <w:rFonts w:asciiTheme="majorHAnsi" w:hAnsiTheme="majorHAnsi" w:cs="Calibri"/>
          <w:b/>
          <w:color w:val="595959" w:themeColor="text1" w:themeTint="A6"/>
          <w:szCs w:val="30"/>
        </w:rPr>
        <w:t xml:space="preserve">, CRP, </w:t>
      </w:r>
      <w:proofErr w:type="spellStart"/>
      <w:r w:rsidRPr="0042157A">
        <w:rPr>
          <w:rFonts w:asciiTheme="majorHAnsi" w:hAnsiTheme="majorHAnsi" w:cs="Calibri"/>
          <w:b/>
          <w:color w:val="595959" w:themeColor="text1" w:themeTint="A6"/>
          <w:szCs w:val="30"/>
        </w:rPr>
        <w:t>Sobemo</w:t>
      </w:r>
      <w:proofErr w:type="spellEnd"/>
      <w:r w:rsidRPr="0042157A">
        <w:rPr>
          <w:rFonts w:asciiTheme="majorHAnsi" w:hAnsiTheme="majorHAnsi" w:cs="Calibri"/>
          <w:b/>
          <w:color w:val="595959" w:themeColor="text1" w:themeTint="A6"/>
          <w:szCs w:val="30"/>
        </w:rPr>
        <w:t xml:space="preserve">, </w:t>
      </w:r>
      <w:proofErr w:type="spellStart"/>
      <w:r w:rsidRPr="0042157A">
        <w:rPr>
          <w:rFonts w:asciiTheme="majorHAnsi" w:hAnsiTheme="majorHAnsi" w:cs="Calibri"/>
          <w:b/>
          <w:color w:val="595959" w:themeColor="text1" w:themeTint="A6"/>
          <w:szCs w:val="30"/>
        </w:rPr>
        <w:t>Stradal</w:t>
      </w:r>
      <w:proofErr w:type="spellEnd"/>
      <w:r w:rsidRPr="0042157A">
        <w:rPr>
          <w:rFonts w:asciiTheme="majorHAnsi" w:hAnsiTheme="majorHAnsi" w:cs="Calibri"/>
          <w:b/>
          <w:color w:val="595959" w:themeColor="text1" w:themeTint="A6"/>
          <w:szCs w:val="30"/>
        </w:rPr>
        <w:t xml:space="preserve">, </w:t>
      </w:r>
      <w:r w:rsidR="00B65185">
        <w:rPr>
          <w:rFonts w:asciiTheme="majorHAnsi" w:hAnsiTheme="majorHAnsi" w:cs="Calibri"/>
          <w:b/>
          <w:color w:val="595959" w:themeColor="text1" w:themeTint="A6"/>
          <w:szCs w:val="30"/>
        </w:rPr>
        <w:t xml:space="preserve">Robert </w:t>
      </w:r>
      <w:proofErr w:type="spellStart"/>
      <w:r w:rsidRPr="0042157A">
        <w:rPr>
          <w:rFonts w:asciiTheme="majorHAnsi" w:hAnsiTheme="majorHAnsi" w:cs="Calibri"/>
          <w:b/>
          <w:color w:val="595959" w:themeColor="text1" w:themeTint="A6"/>
          <w:szCs w:val="30"/>
        </w:rPr>
        <w:t>Thébault</w:t>
      </w:r>
      <w:proofErr w:type="spellEnd"/>
      <w:r w:rsidRPr="0042157A">
        <w:rPr>
          <w:rFonts w:asciiTheme="majorHAnsi" w:hAnsiTheme="majorHAnsi" w:cs="Calibri"/>
          <w:b/>
          <w:color w:val="595959" w:themeColor="text1" w:themeTint="A6"/>
          <w:szCs w:val="30"/>
        </w:rPr>
        <w:t xml:space="preserve"> SAS</w:t>
      </w:r>
      <w:r w:rsidR="00B65185">
        <w:rPr>
          <w:rFonts w:asciiTheme="majorHAnsi" w:hAnsiTheme="majorHAnsi" w:cs="Calibri"/>
          <w:b/>
          <w:color w:val="595959" w:themeColor="text1" w:themeTint="A6"/>
          <w:szCs w:val="30"/>
        </w:rPr>
        <w:t>,</w:t>
      </w:r>
      <w:r w:rsidRPr="0042157A">
        <w:rPr>
          <w:rFonts w:asciiTheme="majorHAnsi" w:hAnsiTheme="majorHAnsi" w:cs="Calibri"/>
          <w:b/>
          <w:color w:val="595959" w:themeColor="text1" w:themeTint="A6"/>
          <w:szCs w:val="30"/>
        </w:rPr>
        <w:t xml:space="preserve"> Urvoy</w:t>
      </w:r>
      <w:r w:rsidR="00B65185">
        <w:rPr>
          <w:rFonts w:asciiTheme="majorHAnsi" w:hAnsiTheme="majorHAnsi" w:cs="Calibri"/>
          <w:b/>
          <w:color w:val="595959" w:themeColor="text1" w:themeTint="A6"/>
          <w:szCs w:val="30"/>
        </w:rPr>
        <w:t xml:space="preserve"> et Urvoy Préfa,</w:t>
      </w:r>
      <w:r w:rsidR="00B65185">
        <w:rPr>
          <w:rFonts w:asciiTheme="majorHAnsi" w:hAnsiTheme="majorHAnsi" w:cs="Calibri"/>
          <w:color w:val="595959" w:themeColor="text1" w:themeTint="A6"/>
          <w:szCs w:val="30"/>
        </w:rPr>
        <w:t xml:space="preserve"> </w:t>
      </w:r>
      <w:r w:rsidRPr="0042157A">
        <w:rPr>
          <w:rFonts w:asciiTheme="majorHAnsi" w:hAnsiTheme="majorHAnsi" w:cs="Calibri"/>
          <w:color w:val="595959" w:themeColor="text1" w:themeTint="A6"/>
          <w:szCs w:val="30"/>
        </w:rPr>
        <w:t xml:space="preserve">qui présenteront leurs solutions industrielles en béton </w:t>
      </w:r>
      <w:r w:rsidR="00463B7D" w:rsidRPr="0042157A">
        <w:rPr>
          <w:rFonts w:asciiTheme="majorHAnsi" w:hAnsiTheme="majorHAnsi" w:cs="Times New Roman"/>
          <w:color w:val="595959" w:themeColor="text1" w:themeTint="A6"/>
          <w:lang w:eastAsia="fr-FR"/>
        </w:rPr>
        <w:t xml:space="preserve">pour collecter, transporter et gérer le traitement </w:t>
      </w:r>
      <w:r w:rsidR="00463B7D" w:rsidRPr="0042157A">
        <w:rPr>
          <w:rFonts w:asciiTheme="majorHAnsi" w:hAnsiTheme="majorHAnsi" w:cs="Times New Roman"/>
          <w:b/>
          <w:color w:val="595959" w:themeColor="text1" w:themeTint="A6"/>
          <w:lang w:eastAsia="fr-FR"/>
        </w:rPr>
        <w:t>des eaux usées </w:t>
      </w:r>
      <w:r w:rsidR="00463B7D" w:rsidRPr="0042157A">
        <w:rPr>
          <w:rFonts w:asciiTheme="majorHAnsi" w:hAnsiTheme="majorHAnsi" w:cs="Calibri"/>
          <w:color w:val="595959" w:themeColor="text1" w:themeTint="A6"/>
          <w:szCs w:val="30"/>
        </w:rPr>
        <w:t xml:space="preserve">et pour infiltrer, collecter, transporter, gérer les volumes et la qualité des rejets </w:t>
      </w:r>
      <w:r w:rsidR="00463B7D" w:rsidRPr="0042157A">
        <w:rPr>
          <w:rFonts w:asciiTheme="majorHAnsi" w:hAnsiTheme="majorHAnsi" w:cs="Calibri"/>
          <w:b/>
          <w:color w:val="595959" w:themeColor="text1" w:themeTint="A6"/>
          <w:szCs w:val="30"/>
        </w:rPr>
        <w:t xml:space="preserve">des </w:t>
      </w:r>
      <w:r w:rsidR="00463B7D" w:rsidRPr="0042157A">
        <w:rPr>
          <w:rFonts w:asciiTheme="majorHAnsi" w:eastAsia="Times New Roman" w:hAnsiTheme="majorHAnsi" w:cs="Calibri"/>
          <w:b/>
          <w:color w:val="595959" w:themeColor="text1" w:themeTint="A6"/>
          <w:kern w:val="24"/>
          <w:lang w:eastAsia="fr-FR"/>
        </w:rPr>
        <w:t>eaux pluviales.</w:t>
      </w:r>
    </w:p>
    <w:p w:rsidR="00272912" w:rsidRPr="0042157A" w:rsidRDefault="00C677C9" w:rsidP="00C4090C">
      <w:pPr>
        <w:spacing w:after="0"/>
        <w:ind w:left="-284" w:right="-290"/>
        <w:jc w:val="both"/>
        <w:rPr>
          <w:rFonts w:asciiTheme="majorHAnsi" w:hAnsiTheme="majorHAnsi" w:cs="Calibri"/>
          <w:color w:val="595959" w:themeColor="text1" w:themeTint="A6"/>
          <w:szCs w:val="30"/>
        </w:rPr>
      </w:pPr>
      <w:r w:rsidRPr="0042157A">
        <w:rPr>
          <w:rFonts w:asciiTheme="majorHAnsi" w:hAnsiTheme="majorHAnsi" w:cs="Calibri"/>
          <w:color w:val="595959" w:themeColor="text1" w:themeTint="A6"/>
          <w:szCs w:val="30"/>
        </w:rPr>
        <w:t xml:space="preserve">Il accueillera aussi </w:t>
      </w:r>
      <w:proofErr w:type="spellStart"/>
      <w:r w:rsidRPr="0042157A">
        <w:rPr>
          <w:rFonts w:asciiTheme="majorHAnsi" w:hAnsiTheme="majorHAnsi"/>
          <w:b/>
          <w:color w:val="595959" w:themeColor="text1" w:themeTint="A6"/>
        </w:rPr>
        <w:t>Ethic</w:t>
      </w:r>
      <w:proofErr w:type="spellEnd"/>
      <w:r w:rsidRPr="0042157A">
        <w:rPr>
          <w:rFonts w:asciiTheme="majorHAnsi" w:hAnsiTheme="majorHAnsi"/>
          <w:b/>
          <w:color w:val="595959" w:themeColor="text1" w:themeTint="A6"/>
        </w:rPr>
        <w:t xml:space="preserve"> Environnement</w:t>
      </w:r>
      <w:r w:rsidRPr="0042157A">
        <w:rPr>
          <w:rFonts w:asciiTheme="majorHAnsi" w:hAnsiTheme="majorHAnsi"/>
          <w:color w:val="595959" w:themeColor="text1" w:themeTint="A6"/>
        </w:rPr>
        <w:t xml:space="preserve"> (bio technologie), </w:t>
      </w:r>
      <w:r w:rsidRPr="0042157A">
        <w:rPr>
          <w:rFonts w:asciiTheme="majorHAnsi" w:hAnsiTheme="majorHAnsi" w:cs="Calibri"/>
          <w:color w:val="595959" w:themeColor="text1" w:themeTint="A6"/>
          <w:szCs w:val="30"/>
        </w:rPr>
        <w:t>une start-up</w:t>
      </w:r>
      <w:r w:rsidRPr="0042157A">
        <w:rPr>
          <w:rFonts w:asciiTheme="majorHAnsi" w:hAnsiTheme="majorHAnsi" w:cs="Calibri"/>
          <w:b/>
          <w:color w:val="595959" w:themeColor="text1" w:themeTint="A6"/>
          <w:szCs w:val="30"/>
        </w:rPr>
        <w:t xml:space="preserve"> </w:t>
      </w:r>
      <w:r w:rsidRPr="0042157A">
        <w:rPr>
          <w:rFonts w:asciiTheme="majorHAnsi" w:hAnsiTheme="majorHAnsi"/>
          <w:color w:val="595959" w:themeColor="text1" w:themeTint="A6"/>
        </w:rPr>
        <w:t xml:space="preserve">spécialisée dans la résolution de problématiques industrielles et environnementales </w:t>
      </w:r>
      <w:r w:rsidR="00B65185" w:rsidRPr="00B65185">
        <w:rPr>
          <w:rFonts w:asciiTheme="majorHAnsi" w:hAnsiTheme="majorHAnsi"/>
          <w:b/>
          <w:color w:val="595959" w:themeColor="text1" w:themeTint="A6"/>
        </w:rPr>
        <w:t>CSI Cordes</w:t>
      </w:r>
      <w:r w:rsidR="00B65185">
        <w:rPr>
          <w:rFonts w:asciiTheme="majorHAnsi" w:hAnsiTheme="majorHAnsi"/>
          <w:color w:val="595959" w:themeColor="text1" w:themeTint="A6"/>
        </w:rPr>
        <w:t xml:space="preserve">, </w:t>
      </w:r>
      <w:r w:rsidR="00B97941">
        <w:rPr>
          <w:rFonts w:asciiTheme="majorHAnsi" w:hAnsiTheme="majorHAnsi"/>
          <w:color w:val="595959" w:themeColor="text1" w:themeTint="A6"/>
        </w:rPr>
        <w:t>producteur et distributeur</w:t>
      </w:r>
      <w:r w:rsidR="00B97941" w:rsidRPr="00B97941">
        <w:rPr>
          <w:rFonts w:asciiTheme="majorHAnsi" w:hAnsiTheme="majorHAnsi"/>
          <w:color w:val="595959" w:themeColor="text1" w:themeTint="A6"/>
        </w:rPr>
        <w:t xml:space="preserve"> de systèmes d'étanchéité pour </w:t>
      </w:r>
      <w:r w:rsidR="00B97941">
        <w:rPr>
          <w:rFonts w:asciiTheme="majorHAnsi" w:hAnsiTheme="majorHAnsi"/>
          <w:color w:val="595959" w:themeColor="text1" w:themeTint="A6"/>
        </w:rPr>
        <w:t>canalisations en béton,</w:t>
      </w:r>
      <w:bookmarkStart w:id="0" w:name="_GoBack"/>
      <w:bookmarkEnd w:id="0"/>
      <w:r w:rsidRPr="0042157A">
        <w:rPr>
          <w:rFonts w:asciiTheme="majorHAnsi" w:hAnsiTheme="majorHAnsi"/>
          <w:color w:val="595959" w:themeColor="text1" w:themeTint="A6"/>
        </w:rPr>
        <w:t xml:space="preserve"> </w:t>
      </w:r>
      <w:r w:rsidR="00FB6395">
        <w:rPr>
          <w:rFonts w:asciiTheme="majorHAnsi" w:hAnsiTheme="majorHAnsi"/>
          <w:color w:val="595959" w:themeColor="text1" w:themeTint="A6"/>
        </w:rPr>
        <w:t xml:space="preserve">et </w:t>
      </w:r>
      <w:r w:rsidRPr="0042157A">
        <w:rPr>
          <w:rFonts w:asciiTheme="majorHAnsi" w:hAnsiTheme="majorHAnsi"/>
          <w:b/>
          <w:color w:val="595959" w:themeColor="text1" w:themeTint="A6"/>
        </w:rPr>
        <w:t>Trelleborg</w:t>
      </w:r>
      <w:r w:rsidRPr="0042157A">
        <w:rPr>
          <w:rFonts w:asciiTheme="majorHAnsi" w:hAnsiTheme="majorHAnsi"/>
          <w:color w:val="595959" w:themeColor="text1" w:themeTint="A6"/>
        </w:rPr>
        <w:t>, l'un des principaux fournisseurs mondiaux de systèmes d'étanchéité pour la connexion de tuyaux.</w:t>
      </w:r>
    </w:p>
    <w:p w:rsidR="00C677C9" w:rsidRDefault="00C677C9" w:rsidP="00463B7D">
      <w:pPr>
        <w:spacing w:after="0"/>
        <w:ind w:left="-284" w:right="-290"/>
        <w:jc w:val="both"/>
        <w:rPr>
          <w:rFonts w:asciiTheme="majorHAnsi" w:hAnsiTheme="majorHAnsi" w:cs="Verdana"/>
          <w:b/>
          <w:bCs/>
          <w:color w:val="CA277D"/>
          <w:sz w:val="24"/>
        </w:rPr>
      </w:pPr>
    </w:p>
    <w:p w:rsidR="005322B1" w:rsidRPr="00C4090C" w:rsidRDefault="006D04F9" w:rsidP="00C4090C">
      <w:pPr>
        <w:spacing w:after="120"/>
        <w:ind w:left="-284" w:right="-290"/>
        <w:jc w:val="both"/>
        <w:rPr>
          <w:rFonts w:asciiTheme="majorHAnsi" w:hAnsiTheme="majorHAnsi" w:cs="Verdana"/>
          <w:b/>
          <w:bCs/>
          <w:color w:val="CA277D"/>
          <w:sz w:val="24"/>
        </w:rPr>
      </w:pPr>
      <w:r w:rsidRPr="00C30258">
        <w:rPr>
          <w:rFonts w:asciiTheme="majorHAnsi" w:hAnsiTheme="majorHAnsi" w:cs="Verdana"/>
          <w:b/>
          <w:bCs/>
          <w:color w:val="CA277D"/>
          <w:sz w:val="24"/>
        </w:rPr>
        <w:t xml:space="preserve">Les </w:t>
      </w:r>
      <w:r w:rsidR="00C677C9">
        <w:rPr>
          <w:rFonts w:asciiTheme="majorHAnsi" w:hAnsiTheme="majorHAnsi" w:cs="Verdana"/>
          <w:b/>
          <w:bCs/>
          <w:color w:val="CA277D"/>
          <w:sz w:val="24"/>
        </w:rPr>
        <w:t xml:space="preserve">Smart Systèmes en Béton : efficience et </w:t>
      </w:r>
      <w:r>
        <w:rPr>
          <w:rFonts w:asciiTheme="majorHAnsi" w:hAnsiTheme="majorHAnsi" w:cs="Verdana"/>
          <w:b/>
          <w:bCs/>
          <w:color w:val="CA277D"/>
          <w:sz w:val="24"/>
        </w:rPr>
        <w:t xml:space="preserve">intelligence au service de la gestion des eaux </w:t>
      </w:r>
    </w:p>
    <w:p w:rsidR="00C4090C" w:rsidRDefault="006D04F9" w:rsidP="00C4090C">
      <w:pPr>
        <w:spacing w:after="120"/>
        <w:ind w:left="-284" w:right="-290"/>
        <w:jc w:val="both"/>
        <w:rPr>
          <w:rFonts w:asciiTheme="majorHAnsi" w:hAnsiTheme="majorHAnsi" w:cs="Verdana"/>
          <w:b/>
          <w:bCs/>
          <w:color w:val="595959" w:themeColor="text1" w:themeTint="A6"/>
        </w:rPr>
      </w:pPr>
      <w:r w:rsidRPr="0042157A">
        <w:rPr>
          <w:rFonts w:asciiTheme="majorHAnsi" w:hAnsiTheme="majorHAnsi"/>
          <w:color w:val="595959" w:themeColor="text1" w:themeTint="A6"/>
        </w:rPr>
        <w:t xml:space="preserve">Par leur capacité à embarquer de l’intelligence, ces solutions industrielles en béton permettent de </w:t>
      </w:r>
      <w:r w:rsidRPr="0042157A">
        <w:rPr>
          <w:rFonts w:asciiTheme="majorHAnsi" w:hAnsiTheme="majorHAnsi"/>
          <w:b/>
          <w:color w:val="595959" w:themeColor="text1" w:themeTint="A6"/>
        </w:rPr>
        <w:t>préserver la ressource eau et le milieu naturel, d’optimiser les conceptions, de rationnaliser la production des résea</w:t>
      </w:r>
      <w:r w:rsidR="002D3B35" w:rsidRPr="0042157A">
        <w:rPr>
          <w:rFonts w:asciiTheme="majorHAnsi" w:hAnsiTheme="majorHAnsi"/>
          <w:b/>
          <w:color w:val="595959" w:themeColor="text1" w:themeTint="A6"/>
        </w:rPr>
        <w:t xml:space="preserve">ux d’eaux pluviales et usées, </w:t>
      </w:r>
      <w:r w:rsidRPr="0042157A">
        <w:rPr>
          <w:rFonts w:asciiTheme="majorHAnsi" w:hAnsiTheme="majorHAnsi"/>
          <w:b/>
          <w:color w:val="595959" w:themeColor="text1" w:themeTint="A6"/>
        </w:rPr>
        <w:t>de maîtriser les risques d</w:t>
      </w:r>
      <w:r w:rsidR="002D3B35" w:rsidRPr="0042157A">
        <w:rPr>
          <w:rFonts w:asciiTheme="majorHAnsi" w:hAnsiTheme="majorHAnsi"/>
          <w:b/>
          <w:color w:val="595959" w:themeColor="text1" w:themeTint="A6"/>
        </w:rPr>
        <w:t>’inondation et de ruissellement, de lutter contre l’imperméabilisation des surfaces urbaines…</w:t>
      </w:r>
    </w:p>
    <w:p w:rsidR="00C4090C" w:rsidRDefault="00C677C9" w:rsidP="00C4090C">
      <w:pPr>
        <w:spacing w:after="120"/>
        <w:ind w:left="-284" w:right="-290"/>
        <w:jc w:val="both"/>
        <w:rPr>
          <w:rFonts w:asciiTheme="majorHAnsi" w:hAnsiTheme="majorHAnsi" w:cs="Verdana"/>
          <w:b/>
          <w:bCs/>
          <w:color w:val="595959" w:themeColor="text1" w:themeTint="A6"/>
        </w:rPr>
      </w:pPr>
      <w:r w:rsidRPr="0042157A">
        <w:rPr>
          <w:rFonts w:asciiTheme="majorHAnsi" w:hAnsiTheme="majorHAnsi"/>
          <w:color w:val="595959" w:themeColor="text1" w:themeTint="A6"/>
          <w:lang w:eastAsia="fr-FR"/>
        </w:rPr>
        <w:t xml:space="preserve">Fabriqués </w:t>
      </w:r>
      <w:r w:rsidRPr="0042157A">
        <w:rPr>
          <w:rFonts w:asciiTheme="majorHAnsi" w:hAnsiTheme="majorHAnsi" w:cs="Arial"/>
          <w:color w:val="595959" w:themeColor="text1" w:themeTint="A6"/>
          <w:szCs w:val="20"/>
        </w:rPr>
        <w:t xml:space="preserve">dans </w:t>
      </w:r>
      <w:r w:rsidRPr="0042157A">
        <w:rPr>
          <w:rFonts w:asciiTheme="majorHAnsi" w:hAnsiTheme="majorHAnsi" w:cs="Arial"/>
          <w:b/>
          <w:color w:val="595959" w:themeColor="text1" w:themeTint="A6"/>
          <w:szCs w:val="20"/>
        </w:rPr>
        <w:t>une démarche d’éco-</w:t>
      </w:r>
      <w:r w:rsidRPr="0042157A">
        <w:rPr>
          <w:rFonts w:asciiTheme="majorHAnsi" w:hAnsiTheme="majorHAnsi"/>
          <w:b/>
          <w:color w:val="595959" w:themeColor="text1" w:themeTint="A6"/>
          <w:szCs w:val="16"/>
        </w:rPr>
        <w:t xml:space="preserve">conception, </w:t>
      </w:r>
      <w:r w:rsidRPr="0042157A">
        <w:rPr>
          <w:rFonts w:asciiTheme="majorHAnsi" w:hAnsiTheme="majorHAnsi"/>
          <w:color w:val="595959" w:themeColor="text1" w:themeTint="A6"/>
          <w:szCs w:val="16"/>
        </w:rPr>
        <w:t>ils permettent de répondre à</w:t>
      </w:r>
      <w:r w:rsidRPr="0042157A">
        <w:rPr>
          <w:rFonts w:asciiTheme="majorHAnsi" w:hAnsiTheme="majorHAnsi"/>
          <w:b/>
          <w:color w:val="595959" w:themeColor="text1" w:themeTint="A6"/>
          <w:szCs w:val="16"/>
        </w:rPr>
        <w:t xml:space="preserve"> toutes les problématiques environnementales de</w:t>
      </w:r>
      <w:r w:rsidRPr="0042157A">
        <w:rPr>
          <w:rFonts w:asciiTheme="majorHAnsi" w:hAnsiTheme="majorHAnsi" w:cs="Times New Roman"/>
          <w:b/>
          <w:bCs/>
          <w:color w:val="595959" w:themeColor="text1" w:themeTint="A6"/>
          <w:lang w:eastAsia="fr-FR"/>
        </w:rPr>
        <w:t xml:space="preserve"> collecte, transport, traitement, captation, infiltration, </w:t>
      </w:r>
      <w:r w:rsidR="005322B1">
        <w:rPr>
          <w:rFonts w:asciiTheme="majorHAnsi" w:hAnsiTheme="majorHAnsi" w:cs="Times New Roman"/>
          <w:b/>
          <w:bCs/>
          <w:color w:val="595959" w:themeColor="text1" w:themeTint="A6"/>
          <w:lang w:eastAsia="fr-FR"/>
        </w:rPr>
        <w:t xml:space="preserve">stockage, </w:t>
      </w:r>
      <w:r w:rsidR="0042157A">
        <w:rPr>
          <w:rFonts w:asciiTheme="majorHAnsi" w:hAnsiTheme="majorHAnsi" w:cs="Times New Roman"/>
          <w:b/>
          <w:bCs/>
          <w:color w:val="595959" w:themeColor="text1" w:themeTint="A6"/>
          <w:lang w:eastAsia="fr-FR"/>
        </w:rPr>
        <w:t>évacuation des eaux</w:t>
      </w:r>
      <w:r w:rsidR="005322B1">
        <w:rPr>
          <w:rFonts w:asciiTheme="majorHAnsi" w:hAnsiTheme="majorHAnsi" w:cs="Times New Roman"/>
          <w:b/>
          <w:bCs/>
          <w:color w:val="595959" w:themeColor="text1" w:themeTint="A6"/>
          <w:lang w:eastAsia="fr-FR"/>
        </w:rPr>
        <w:t>…</w:t>
      </w:r>
      <w:r w:rsidR="0042157A" w:rsidRPr="0042157A">
        <w:rPr>
          <w:rFonts w:asciiTheme="majorHAnsi" w:eastAsia="Times New Roman" w:hAnsiTheme="majorHAnsi" w:cs="Calibri"/>
          <w:noProof/>
          <w:color w:val="595959" w:themeColor="text1" w:themeTint="A6"/>
          <w:kern w:val="24"/>
          <w:lang w:eastAsia="fr-FR"/>
        </w:rPr>
        <w:t xml:space="preserve"> Tous les projets trouvent leurs solutions grâce </w:t>
      </w:r>
      <w:r w:rsidR="0042157A">
        <w:rPr>
          <w:rFonts w:asciiTheme="majorHAnsi" w:eastAsia="Times New Roman" w:hAnsiTheme="majorHAnsi" w:cs="Calibri"/>
          <w:noProof/>
          <w:color w:val="595959" w:themeColor="text1" w:themeTint="A6"/>
          <w:kern w:val="24"/>
          <w:lang w:eastAsia="fr-FR"/>
        </w:rPr>
        <w:t xml:space="preserve">à l’adaptabilité technique à chaque chantier et </w:t>
      </w:r>
      <w:r w:rsidR="0042157A" w:rsidRPr="0042157A">
        <w:rPr>
          <w:rFonts w:asciiTheme="majorHAnsi" w:eastAsia="Times New Roman" w:hAnsiTheme="majorHAnsi" w:cs="Calibri"/>
          <w:noProof/>
          <w:color w:val="595959" w:themeColor="text1" w:themeTint="A6"/>
          <w:kern w:val="24"/>
          <w:lang w:eastAsia="fr-FR"/>
        </w:rPr>
        <w:t xml:space="preserve">à </w:t>
      </w:r>
      <w:r w:rsidR="0042157A" w:rsidRPr="0042157A">
        <w:rPr>
          <w:rFonts w:asciiTheme="majorHAnsi" w:eastAsia="Times New Roman" w:hAnsiTheme="majorHAnsi" w:cs="Calibri"/>
          <w:b/>
          <w:noProof/>
          <w:color w:val="595959" w:themeColor="text1" w:themeTint="A6"/>
          <w:kern w:val="24"/>
          <w:lang w:eastAsia="fr-FR"/>
        </w:rPr>
        <w:t xml:space="preserve">la multiplicité des applications, </w:t>
      </w:r>
      <w:r w:rsidR="0042157A">
        <w:rPr>
          <w:rFonts w:asciiTheme="majorHAnsi" w:eastAsia="Times New Roman" w:hAnsiTheme="majorHAnsi" w:cs="Calibri"/>
          <w:b/>
          <w:noProof/>
          <w:color w:val="595959" w:themeColor="text1" w:themeTint="A6"/>
          <w:kern w:val="24"/>
          <w:lang w:eastAsia="fr-FR"/>
        </w:rPr>
        <w:t xml:space="preserve">des produits </w:t>
      </w:r>
      <w:r w:rsidR="0042157A" w:rsidRPr="0042157A">
        <w:rPr>
          <w:rFonts w:asciiTheme="majorHAnsi" w:eastAsia="Times New Roman" w:hAnsiTheme="majorHAnsi" w:cs="Calibri"/>
          <w:b/>
          <w:noProof/>
          <w:color w:val="595959" w:themeColor="text1" w:themeTint="A6"/>
          <w:kern w:val="24"/>
          <w:lang w:eastAsia="fr-FR"/>
        </w:rPr>
        <w:t xml:space="preserve">et systèmes de haute technicité </w:t>
      </w:r>
      <w:r w:rsidR="0042157A" w:rsidRPr="0042157A">
        <w:rPr>
          <w:rFonts w:asciiTheme="majorHAnsi" w:hAnsiTheme="majorHAnsi" w:cs="Times New Roman"/>
          <w:color w:val="595959" w:themeColor="text1" w:themeTint="A6"/>
          <w:lang w:eastAsia="fr-FR"/>
        </w:rPr>
        <w:t xml:space="preserve">: </w:t>
      </w:r>
      <w:r w:rsidR="0042157A" w:rsidRPr="0042157A">
        <w:rPr>
          <w:rFonts w:asciiTheme="majorHAnsi" w:eastAsia="Times New Roman" w:hAnsiTheme="majorHAnsi" w:cs="Calibri"/>
          <w:color w:val="595959" w:themeColor="text1" w:themeTint="A6"/>
          <w:kern w:val="24"/>
          <w:lang w:eastAsia="fr-FR"/>
        </w:rPr>
        <w:t>tuyaux, regards de visite, collecteurs en voussoirs, débourbeurs, dégrilleurs, chaussées réservoirs, revêtements drainants, pavés poreux, bassins de rétention, fossés-descentes d’eau, bassins de retenue, canalisations et tunnels de stockage, bassins d’orage et de dépollution, caniveaux, ouvrages de régulation...</w:t>
      </w:r>
    </w:p>
    <w:p w:rsidR="005322B1" w:rsidRPr="00C4090C" w:rsidRDefault="00C677C9" w:rsidP="00C4090C">
      <w:pPr>
        <w:spacing w:after="120"/>
        <w:ind w:left="-284" w:right="-290"/>
        <w:jc w:val="both"/>
        <w:rPr>
          <w:rFonts w:asciiTheme="majorHAnsi" w:hAnsiTheme="majorHAnsi" w:cs="Verdana"/>
          <w:b/>
          <w:bCs/>
          <w:color w:val="595959" w:themeColor="text1" w:themeTint="A6"/>
        </w:rPr>
      </w:pPr>
      <w:r w:rsidRPr="0042157A">
        <w:rPr>
          <w:rFonts w:asciiTheme="majorHAnsi" w:hAnsiTheme="majorHAnsi"/>
          <w:color w:val="595959" w:themeColor="text1" w:themeTint="A6"/>
        </w:rPr>
        <w:t xml:space="preserve">Les Smart Systèmes en Béton s’inscrivent pleinement dans </w:t>
      </w:r>
      <w:r w:rsidRPr="0042157A">
        <w:rPr>
          <w:rFonts w:asciiTheme="majorHAnsi" w:hAnsiTheme="majorHAnsi"/>
          <w:b/>
          <w:color w:val="595959" w:themeColor="text1" w:themeTint="A6"/>
        </w:rPr>
        <w:t>le principe de l’économie circulaire</w:t>
      </w:r>
      <w:r w:rsidRPr="0042157A">
        <w:rPr>
          <w:rFonts w:asciiTheme="majorHAnsi" w:hAnsiTheme="majorHAnsi"/>
          <w:color w:val="595959" w:themeColor="text1" w:themeTint="A6"/>
        </w:rPr>
        <w:t xml:space="preserve">, </w:t>
      </w:r>
      <w:r w:rsidRPr="0042157A">
        <w:rPr>
          <w:rFonts w:asciiTheme="majorHAnsi" w:eastAsia="Times New Roman" w:hAnsiTheme="majorHAnsi" w:cs="Calibri"/>
          <w:color w:val="595959" w:themeColor="text1" w:themeTint="A6"/>
          <w:kern w:val="24"/>
          <w:lang w:eastAsia="fr-FR"/>
        </w:rPr>
        <w:t xml:space="preserve">en favorisant les boucles courtes, en limitant la production de déchets en usine et sur chantier, en anticipant la capacité de séparation des composants, en recyclant et réutilisant (pavés drainants éco-urbains en béton de coquillages, utilisation de granulats de béton recyclé...). </w:t>
      </w:r>
    </w:p>
    <w:p w:rsidR="00C4090C" w:rsidRDefault="00C4090C" w:rsidP="0042157A">
      <w:pPr>
        <w:spacing w:after="120"/>
        <w:ind w:left="-284" w:right="-290"/>
        <w:jc w:val="both"/>
        <w:rPr>
          <w:rFonts w:asciiTheme="majorHAnsi" w:eastAsia="Times New Roman" w:hAnsiTheme="majorHAnsi" w:cs="Calibri"/>
          <w:color w:val="595959" w:themeColor="text1" w:themeTint="A6"/>
          <w:kern w:val="24"/>
          <w:lang w:eastAsia="fr-FR"/>
        </w:rPr>
      </w:pPr>
    </w:p>
    <w:p w:rsidR="00C4090C" w:rsidRDefault="00C4090C" w:rsidP="0042157A">
      <w:pPr>
        <w:spacing w:after="120"/>
        <w:ind w:left="-284" w:right="-290"/>
        <w:jc w:val="both"/>
        <w:rPr>
          <w:rFonts w:asciiTheme="majorHAnsi" w:eastAsia="Times New Roman" w:hAnsiTheme="majorHAnsi" w:cs="Calibri"/>
          <w:color w:val="595959" w:themeColor="text1" w:themeTint="A6"/>
          <w:kern w:val="24"/>
          <w:lang w:eastAsia="fr-FR"/>
        </w:rPr>
      </w:pPr>
    </w:p>
    <w:p w:rsidR="0042157A" w:rsidRDefault="00C677C9" w:rsidP="0042157A">
      <w:pPr>
        <w:spacing w:after="120"/>
        <w:ind w:left="-284" w:right="-290"/>
        <w:jc w:val="both"/>
        <w:rPr>
          <w:rFonts w:asciiTheme="majorHAnsi" w:hAnsiTheme="majorHAnsi"/>
          <w:b/>
          <w:color w:val="595959" w:themeColor="text1" w:themeTint="A6"/>
        </w:rPr>
      </w:pPr>
      <w:r w:rsidRPr="0042157A">
        <w:rPr>
          <w:rFonts w:asciiTheme="majorHAnsi" w:eastAsia="Times New Roman" w:hAnsiTheme="majorHAnsi" w:cs="Calibri"/>
          <w:color w:val="595959" w:themeColor="text1" w:themeTint="A6"/>
          <w:kern w:val="24"/>
          <w:lang w:eastAsia="fr-FR"/>
        </w:rPr>
        <w:t xml:space="preserve">Dans le cadre du Projet national </w:t>
      </w:r>
      <w:proofErr w:type="spellStart"/>
      <w:r w:rsidRPr="0042157A">
        <w:rPr>
          <w:rFonts w:asciiTheme="majorHAnsi" w:eastAsia="Times New Roman" w:hAnsiTheme="majorHAnsi" w:cs="Calibri"/>
          <w:color w:val="595959" w:themeColor="text1" w:themeTint="A6"/>
          <w:kern w:val="24"/>
          <w:lang w:eastAsia="fr-FR"/>
        </w:rPr>
        <w:t>Recybéton</w:t>
      </w:r>
      <w:proofErr w:type="spellEnd"/>
      <w:r w:rsidRPr="0042157A">
        <w:rPr>
          <w:rFonts w:asciiTheme="majorHAnsi" w:eastAsia="Times New Roman" w:hAnsiTheme="majorHAnsi" w:cs="Calibri"/>
          <w:color w:val="595959" w:themeColor="text1" w:themeTint="A6"/>
          <w:kern w:val="24"/>
          <w:lang w:eastAsia="fr-FR"/>
        </w:rPr>
        <w:t>, leurs solutions permettent de</w:t>
      </w:r>
      <w:r w:rsidRPr="0042157A">
        <w:rPr>
          <w:rFonts w:asciiTheme="majorHAnsi" w:eastAsia="Times New Roman" w:hAnsiTheme="majorHAnsi" w:cs="Calibri"/>
          <w:b/>
          <w:color w:val="595959" w:themeColor="text1" w:themeTint="A6"/>
          <w:kern w:val="24"/>
          <w:lang w:eastAsia="fr-FR"/>
        </w:rPr>
        <w:t xml:space="preserve"> favoriser l’utilisation des matériaux issus des bétons déconstruits</w:t>
      </w:r>
      <w:r w:rsidRPr="0042157A">
        <w:rPr>
          <w:rFonts w:asciiTheme="majorHAnsi" w:eastAsia="Times New Roman" w:hAnsiTheme="majorHAnsi" w:cs="Calibri"/>
          <w:color w:val="595959" w:themeColor="text1" w:themeTint="A6"/>
          <w:kern w:val="24"/>
          <w:lang w:eastAsia="fr-FR"/>
        </w:rPr>
        <w:t xml:space="preserve"> comme constituant des nouveaux béton</w:t>
      </w:r>
      <w:r w:rsidR="00FB6395">
        <w:rPr>
          <w:rFonts w:asciiTheme="majorHAnsi" w:eastAsia="Times New Roman" w:hAnsiTheme="majorHAnsi" w:cs="Calibri"/>
          <w:color w:val="595959" w:themeColor="text1" w:themeTint="A6"/>
          <w:kern w:val="24"/>
          <w:lang w:eastAsia="fr-FR"/>
        </w:rPr>
        <w:t>s</w:t>
      </w:r>
      <w:r w:rsidRPr="0042157A">
        <w:rPr>
          <w:rFonts w:asciiTheme="majorHAnsi" w:eastAsia="Times New Roman" w:hAnsiTheme="majorHAnsi" w:cs="Calibri"/>
          <w:color w:val="595959" w:themeColor="text1" w:themeTint="A6"/>
          <w:kern w:val="24"/>
          <w:lang w:eastAsia="fr-FR"/>
        </w:rPr>
        <w:t xml:space="preserve"> ou </w:t>
      </w:r>
      <w:r w:rsidRPr="0042157A">
        <w:rPr>
          <w:rFonts w:asciiTheme="majorHAnsi" w:eastAsia="Times New Roman" w:hAnsiTheme="majorHAnsi" w:cs="Calibri"/>
          <w:b/>
          <w:color w:val="595959" w:themeColor="text1" w:themeTint="A6"/>
          <w:kern w:val="24"/>
          <w:lang w:eastAsia="fr-FR"/>
        </w:rPr>
        <w:t>d’utiliser les matériaux issus de la déconstruction des bétons</w:t>
      </w:r>
      <w:r w:rsidRPr="0042157A">
        <w:rPr>
          <w:rFonts w:asciiTheme="majorHAnsi" w:eastAsia="Times New Roman" w:hAnsiTheme="majorHAnsi" w:cs="Calibri"/>
          <w:color w:val="595959" w:themeColor="text1" w:themeTint="A6"/>
          <w:kern w:val="24"/>
          <w:lang w:eastAsia="fr-FR"/>
        </w:rPr>
        <w:t xml:space="preserve"> comme matière première dans la production de ciments recyclés. </w:t>
      </w:r>
    </w:p>
    <w:p w:rsidR="00C677C9" w:rsidRPr="0042157A" w:rsidRDefault="00C677C9" w:rsidP="0042157A">
      <w:pPr>
        <w:spacing w:after="0"/>
        <w:ind w:left="-284" w:right="-290"/>
        <w:jc w:val="both"/>
        <w:rPr>
          <w:rFonts w:asciiTheme="majorHAnsi" w:hAnsiTheme="majorHAnsi"/>
          <w:b/>
          <w:color w:val="595959" w:themeColor="text1" w:themeTint="A6"/>
        </w:rPr>
      </w:pPr>
      <w:r w:rsidRPr="0042157A">
        <w:rPr>
          <w:rFonts w:asciiTheme="majorHAnsi" w:hAnsiTheme="majorHAnsi"/>
          <w:color w:val="595959" w:themeColor="text1" w:themeTint="A6"/>
          <w:lang w:eastAsia="fr-FR"/>
        </w:rPr>
        <w:t>L’utilisation du</w:t>
      </w:r>
      <w:r w:rsidRPr="0042157A">
        <w:rPr>
          <w:rFonts w:asciiTheme="majorHAnsi" w:hAnsiTheme="majorHAnsi"/>
          <w:b/>
          <w:color w:val="595959" w:themeColor="text1" w:themeTint="A6"/>
          <w:lang w:eastAsia="fr-FR"/>
        </w:rPr>
        <w:t xml:space="preserve"> BIM, dans une démarche collaborative, </w:t>
      </w:r>
      <w:r w:rsidRPr="0042157A">
        <w:rPr>
          <w:rFonts w:asciiTheme="majorHAnsi" w:hAnsiTheme="majorHAnsi"/>
          <w:color w:val="595959" w:themeColor="text1" w:themeTint="A6"/>
          <w:lang w:eastAsia="fr-FR"/>
        </w:rPr>
        <w:t xml:space="preserve">permet aussi de mieux </w:t>
      </w:r>
      <w:r w:rsidRPr="0042157A">
        <w:rPr>
          <w:rFonts w:asciiTheme="majorHAnsi" w:hAnsiTheme="majorHAnsi"/>
          <w:b/>
          <w:color w:val="595959" w:themeColor="text1" w:themeTint="A6"/>
          <w:lang w:eastAsia="fr-FR"/>
        </w:rPr>
        <w:t xml:space="preserve">rationnaliser les étapes de conception, exécution et maintenance tout au long de la vie des ouvrages, </w:t>
      </w:r>
      <w:r w:rsidRPr="0042157A">
        <w:rPr>
          <w:rFonts w:asciiTheme="majorHAnsi" w:eastAsia="Times New Roman" w:hAnsiTheme="majorHAnsi" w:cs="Calibri"/>
          <w:color w:val="595959" w:themeColor="text1" w:themeTint="A6"/>
          <w:kern w:val="24"/>
          <w:lang w:eastAsia="fr-FR"/>
        </w:rPr>
        <w:t xml:space="preserve">avec des modèles génériques inscrits dans la base de données des produits et systèmes de l’Industrie du Béton. </w:t>
      </w:r>
    </w:p>
    <w:p w:rsidR="00C677C9" w:rsidRDefault="00C677C9" w:rsidP="0042157A">
      <w:pPr>
        <w:spacing w:after="0"/>
        <w:ind w:right="-290"/>
        <w:jc w:val="both"/>
        <w:rPr>
          <w:rFonts w:asciiTheme="majorHAnsi" w:hAnsiTheme="majorHAnsi"/>
          <w:b/>
          <w:color w:val="595959" w:themeColor="text1" w:themeTint="A6"/>
          <w:sz w:val="24"/>
        </w:rPr>
      </w:pPr>
    </w:p>
    <w:p w:rsidR="00C677C9" w:rsidRPr="00C4090C" w:rsidRDefault="00A15705" w:rsidP="00C4090C">
      <w:pPr>
        <w:spacing w:after="120"/>
        <w:ind w:left="-284" w:right="-290"/>
        <w:jc w:val="both"/>
        <w:rPr>
          <w:rFonts w:asciiTheme="majorHAnsi" w:hAnsiTheme="majorHAnsi" w:cs="Verdana"/>
          <w:b/>
          <w:bCs/>
          <w:color w:val="CA277D"/>
          <w:sz w:val="24"/>
        </w:rPr>
      </w:pPr>
      <w:r w:rsidRPr="00C30258">
        <w:rPr>
          <w:rFonts w:asciiTheme="majorHAnsi" w:hAnsiTheme="majorHAnsi" w:cs="Verdana"/>
          <w:b/>
          <w:bCs/>
          <w:color w:val="CA277D"/>
          <w:sz w:val="24"/>
        </w:rPr>
        <w:t>Les temps forts du Village Béton</w:t>
      </w:r>
      <w:r w:rsidR="00C30258" w:rsidRPr="00C30258">
        <w:rPr>
          <w:rFonts w:asciiTheme="majorHAnsi" w:hAnsiTheme="majorHAnsi" w:cs="Verdana"/>
          <w:b/>
          <w:bCs/>
          <w:color w:val="CA277D"/>
          <w:sz w:val="24"/>
        </w:rPr>
        <w:t xml:space="preserve"> : trois conférences le mercredi 30 janvier de 14 h à 16 h 30 </w:t>
      </w:r>
    </w:p>
    <w:p w:rsidR="00463B7D" w:rsidRPr="0042157A" w:rsidRDefault="00C677C9" w:rsidP="00C4090C">
      <w:pPr>
        <w:pStyle w:val="Paragraphedeliste"/>
        <w:numPr>
          <w:ilvl w:val="0"/>
          <w:numId w:val="7"/>
        </w:numPr>
        <w:spacing w:after="0"/>
        <w:ind w:right="-290"/>
        <w:jc w:val="both"/>
        <w:rPr>
          <w:rFonts w:asciiTheme="majorHAnsi" w:hAnsiTheme="majorHAnsi"/>
          <w:b/>
          <w:color w:val="4F81BD" w:themeColor="accent1"/>
        </w:rPr>
      </w:pPr>
      <w:r w:rsidRPr="0042157A">
        <w:rPr>
          <w:rFonts w:asciiTheme="majorHAnsi" w:hAnsiTheme="majorHAnsi"/>
          <w:b/>
          <w:color w:val="4F81BD" w:themeColor="accent1"/>
        </w:rPr>
        <w:t>Év</w:t>
      </w:r>
      <w:r w:rsidR="00C30258" w:rsidRPr="0042157A">
        <w:rPr>
          <w:rFonts w:asciiTheme="majorHAnsi" w:hAnsiTheme="majorHAnsi"/>
          <w:b/>
          <w:color w:val="4F81BD" w:themeColor="accent1"/>
        </w:rPr>
        <w:t>olutions normatives et réglementaires récentes concernant les contrôles des réseaux d’assainissement</w:t>
      </w:r>
      <w:r w:rsidR="00C30258" w:rsidRPr="0042157A">
        <w:rPr>
          <w:rFonts w:asciiTheme="majorHAnsi" w:hAnsiTheme="majorHAnsi"/>
          <w:color w:val="4F81BD" w:themeColor="accent1"/>
        </w:rPr>
        <w:t> </w:t>
      </w:r>
    </w:p>
    <w:p w:rsidR="00463B7D" w:rsidRPr="0042157A" w:rsidRDefault="00C30258" w:rsidP="00C4090C">
      <w:pPr>
        <w:spacing w:after="120"/>
        <w:ind w:left="-284" w:right="-290"/>
        <w:jc w:val="both"/>
        <w:rPr>
          <w:rFonts w:asciiTheme="majorHAnsi" w:hAnsiTheme="majorHAnsi"/>
          <w:b/>
          <w:color w:val="4F81BD" w:themeColor="accent1"/>
        </w:rPr>
      </w:pPr>
      <w:r w:rsidRPr="0042157A">
        <w:rPr>
          <w:rFonts w:asciiTheme="majorHAnsi" w:hAnsiTheme="majorHAnsi"/>
          <w:color w:val="595959" w:themeColor="text1" w:themeTint="A6"/>
        </w:rPr>
        <w:t>L’arrêté du 21 juillet 2015, relatif notamment aux systèmes d'assainissement collectif, exige que les travaux fassent l'objet, avant la mise en service, d'une procédure de réception prononcée par le maître d'ouvrage. Il précise que des essais visent à assurer la bonne exécution des travaux. En lien avec la norme européenne NF EN 1610 de 2015, le guide ASTEE sur le contrôle des réseaux neufs, et les travaux de révision du Fascicule 70 titre I du CCTG, cette conférence sera l’occasion de faire le point sur les essais à réaliser en termes de compactage, d’inspection télévisuelle et d’étanchéité.</w:t>
      </w:r>
    </w:p>
    <w:p w:rsidR="00463B7D" w:rsidRPr="0042157A" w:rsidRDefault="00C30258" w:rsidP="00C4090C">
      <w:pPr>
        <w:pStyle w:val="Paragraphedeliste"/>
        <w:numPr>
          <w:ilvl w:val="0"/>
          <w:numId w:val="7"/>
        </w:numPr>
        <w:spacing w:after="0"/>
        <w:ind w:right="-290"/>
        <w:jc w:val="both"/>
        <w:rPr>
          <w:rFonts w:asciiTheme="majorHAnsi" w:hAnsiTheme="majorHAnsi"/>
          <w:b/>
          <w:color w:val="4F81BD" w:themeColor="accent1"/>
        </w:rPr>
      </w:pPr>
      <w:r w:rsidRPr="0042157A">
        <w:rPr>
          <w:rFonts w:asciiTheme="majorHAnsi" w:hAnsiTheme="majorHAnsi"/>
          <w:b/>
          <w:color w:val="4F81BD" w:themeColor="accent1"/>
        </w:rPr>
        <w:t>Collecte et régulation des eaux pluviales dans la ville perméable</w:t>
      </w:r>
      <w:r w:rsidRPr="0042157A">
        <w:rPr>
          <w:rFonts w:asciiTheme="majorHAnsi" w:hAnsiTheme="majorHAnsi"/>
          <w:color w:val="4F81BD" w:themeColor="accent1"/>
        </w:rPr>
        <w:t> </w:t>
      </w:r>
    </w:p>
    <w:p w:rsidR="00463B7D" w:rsidRPr="0042157A" w:rsidRDefault="00C30258" w:rsidP="00C4090C">
      <w:pPr>
        <w:spacing w:after="120"/>
        <w:ind w:left="-284" w:right="-290"/>
        <w:jc w:val="both"/>
        <w:rPr>
          <w:rFonts w:asciiTheme="majorHAnsi" w:hAnsiTheme="majorHAnsi"/>
          <w:b/>
          <w:color w:val="4F81BD" w:themeColor="accent1"/>
        </w:rPr>
      </w:pPr>
      <w:r w:rsidRPr="0042157A">
        <w:rPr>
          <w:rFonts w:asciiTheme="majorHAnsi" w:hAnsiTheme="majorHAnsi"/>
          <w:color w:val="595959" w:themeColor="text1" w:themeTint="A6"/>
        </w:rPr>
        <w:t>Les responsables de l’urbanisme et les acteurs de l’assainissement sont conscients de la nécessité impérative d’une gestion efficace du cycle des eaux pluviales qui permet de limiter le ruissellement des eaux par temps de pluie, de maîtriser les pollutions urbaines et de sauvegarder la qualité des eaux. Le béton préfabriqué contribue à la mise en place de cette démarche de gestion des eaux pluviales au sein de la « ville perméable », en apportant des solutions d’infiltration, de stockage, de régulation, de restitution, mais aussi d’utilisation des eaux pluviales. Ces solutions adaptées aux spécificités des projets permettent en outre d’optimiser le phasage du chantier et les délais, et de répondre aux exigences des collectivités en termes de pérennité</w:t>
      </w:r>
      <w:r w:rsidRPr="0042157A">
        <w:rPr>
          <w:rFonts w:asciiTheme="majorHAnsi" w:hAnsiTheme="majorHAnsi"/>
          <w:b/>
          <w:color w:val="595959" w:themeColor="text1" w:themeTint="A6"/>
        </w:rPr>
        <w:t>.</w:t>
      </w:r>
    </w:p>
    <w:p w:rsidR="00463B7D" w:rsidRPr="0042157A" w:rsidRDefault="00C30258" w:rsidP="00C4090C">
      <w:pPr>
        <w:pStyle w:val="Paragraphedeliste"/>
        <w:numPr>
          <w:ilvl w:val="0"/>
          <w:numId w:val="7"/>
        </w:numPr>
        <w:spacing w:after="0"/>
        <w:ind w:right="-290"/>
        <w:jc w:val="both"/>
        <w:rPr>
          <w:rFonts w:asciiTheme="majorHAnsi" w:hAnsiTheme="majorHAnsi"/>
          <w:b/>
          <w:color w:val="4F81BD" w:themeColor="accent1"/>
        </w:rPr>
      </w:pPr>
      <w:r w:rsidRPr="0042157A">
        <w:rPr>
          <w:rFonts w:asciiTheme="majorHAnsi" w:hAnsiTheme="majorHAnsi"/>
          <w:b/>
          <w:color w:val="4F81BD" w:themeColor="accent1"/>
        </w:rPr>
        <w:t>Ville imperméable, le retour d’expérience d’un maître d’ouvrage</w:t>
      </w:r>
      <w:r w:rsidRPr="0042157A">
        <w:rPr>
          <w:rFonts w:asciiTheme="majorHAnsi" w:hAnsiTheme="majorHAnsi"/>
          <w:color w:val="4F81BD" w:themeColor="accent1"/>
        </w:rPr>
        <w:t> </w:t>
      </w:r>
      <w:r w:rsidRPr="0042157A">
        <w:rPr>
          <w:rFonts w:asciiTheme="majorHAnsi" w:hAnsiTheme="majorHAnsi"/>
          <w:color w:val="595959" w:themeColor="text1" w:themeTint="A6"/>
        </w:rPr>
        <w:t>:</w:t>
      </w:r>
    </w:p>
    <w:p w:rsidR="00463B7D" w:rsidRPr="0042157A" w:rsidRDefault="00C30258" w:rsidP="00C4090C">
      <w:pPr>
        <w:spacing w:after="0"/>
        <w:ind w:left="-284" w:right="-290"/>
        <w:jc w:val="both"/>
        <w:rPr>
          <w:rFonts w:asciiTheme="majorHAnsi" w:hAnsiTheme="majorHAnsi"/>
          <w:b/>
          <w:color w:val="4F81BD" w:themeColor="accent1"/>
        </w:rPr>
      </w:pPr>
      <w:r w:rsidRPr="0042157A">
        <w:rPr>
          <w:rFonts w:asciiTheme="majorHAnsi" w:hAnsiTheme="majorHAnsi"/>
          <w:color w:val="595959" w:themeColor="text1" w:themeTint="A6"/>
        </w:rPr>
        <w:t xml:space="preserve">L’eau pluviale s’infiltre de moins en moins à mesure que les villes s’imperméabilisent et les volumes d’eau qui ruissellent ou qui sont collectés augmentent. Face à ces enjeux, la place de l’eau, en particulier des eaux pluviales, dans la ville évolue et nécessite des solutions spécifiques d’assainissement pour maîtriser les risques d’inondation et de ruissellement. Un maître d’ouvrage présentera un retour d’expérience, intégrant ses objectifs de perméabilité et de </w:t>
      </w:r>
      <w:proofErr w:type="spellStart"/>
      <w:r w:rsidRPr="0042157A">
        <w:rPr>
          <w:rFonts w:asciiTheme="majorHAnsi" w:hAnsiTheme="majorHAnsi"/>
          <w:color w:val="595959" w:themeColor="text1" w:themeTint="A6"/>
        </w:rPr>
        <w:t>désimperméabilisation</w:t>
      </w:r>
      <w:proofErr w:type="spellEnd"/>
      <w:r w:rsidRPr="0042157A">
        <w:rPr>
          <w:rFonts w:asciiTheme="majorHAnsi" w:hAnsiTheme="majorHAnsi"/>
          <w:color w:val="595959" w:themeColor="text1" w:themeTint="A6"/>
        </w:rPr>
        <w:t xml:space="preserve"> dans l’aménagement de la ville, et les résultats obtenus.</w:t>
      </w:r>
    </w:p>
    <w:p w:rsidR="00463B7D" w:rsidRDefault="00463B7D" w:rsidP="00C4090C">
      <w:pPr>
        <w:spacing w:after="0"/>
        <w:ind w:left="-284" w:right="-290"/>
        <w:jc w:val="both"/>
        <w:rPr>
          <w:rFonts w:asciiTheme="majorHAnsi" w:hAnsiTheme="majorHAnsi"/>
          <w:b/>
          <w:color w:val="4F81BD" w:themeColor="accent1"/>
          <w:sz w:val="24"/>
        </w:rPr>
      </w:pPr>
    </w:p>
    <w:p w:rsidR="00E45458" w:rsidRPr="00C4090C" w:rsidRDefault="00E45458" w:rsidP="00C4090C">
      <w:pPr>
        <w:spacing w:after="120"/>
        <w:ind w:left="-284" w:right="-290"/>
        <w:jc w:val="both"/>
        <w:rPr>
          <w:rFonts w:asciiTheme="majorHAnsi" w:hAnsiTheme="majorHAnsi"/>
          <w:b/>
          <w:color w:val="4F81BD" w:themeColor="accent1"/>
          <w:sz w:val="20"/>
        </w:rPr>
      </w:pPr>
      <w:r>
        <w:rPr>
          <w:rFonts w:asciiTheme="majorHAnsi" w:hAnsiTheme="majorHAnsi"/>
          <w:b/>
          <w:bCs/>
          <w:color w:val="595959" w:themeColor="text1" w:themeTint="A6"/>
          <w:sz w:val="20"/>
        </w:rPr>
        <w:t>À propos de l</w:t>
      </w:r>
      <w:r w:rsidR="00A15705" w:rsidRPr="00463B7D">
        <w:rPr>
          <w:rFonts w:asciiTheme="majorHAnsi" w:hAnsiTheme="majorHAnsi"/>
          <w:b/>
          <w:bCs/>
          <w:color w:val="595959" w:themeColor="text1" w:themeTint="A6"/>
          <w:sz w:val="20"/>
        </w:rPr>
        <w:t>a Fédération de l’Industrie du Béton (FIB)</w:t>
      </w:r>
      <w:r w:rsidR="00A15705" w:rsidRPr="00463B7D">
        <w:rPr>
          <w:rFonts w:asciiTheme="majorHAnsi" w:hAnsiTheme="majorHAnsi"/>
          <w:bCs/>
          <w:color w:val="595959" w:themeColor="text1" w:themeTint="A6"/>
          <w:sz w:val="20"/>
        </w:rPr>
        <w:t xml:space="preserve"> concourt en France à la promotion des intérêts des industriels fabricants de produits en béton et assure la représentation de ce secteur industriel auprès des pouvoirs publics, des collectivités locales et de l’environnement professionnel. Elle représente 100 % d’entreprises françaises </w:t>
      </w:r>
      <w:r w:rsidR="00A15705" w:rsidRPr="00463B7D">
        <w:rPr>
          <w:rFonts w:asciiTheme="majorHAnsi" w:hAnsiTheme="majorHAnsi"/>
          <w:color w:val="595959" w:themeColor="text1" w:themeTint="A6"/>
          <w:sz w:val="20"/>
        </w:rPr>
        <w:t xml:space="preserve">TPE, PME et PMI, </w:t>
      </w:r>
      <w:r w:rsidR="00A15705" w:rsidRPr="00463B7D">
        <w:rPr>
          <w:rFonts w:asciiTheme="majorHAnsi" w:eastAsia="MS PGothic" w:hAnsiTheme="majorHAnsi"/>
          <w:bCs/>
          <w:color w:val="595959" w:themeColor="text1" w:themeTint="A6"/>
          <w:kern w:val="24"/>
          <w:sz w:val="20"/>
          <w:lang w:eastAsia="fr-FR"/>
        </w:rPr>
        <w:t xml:space="preserve">un maillage territorial </w:t>
      </w:r>
      <w:r w:rsidR="00A15705" w:rsidRPr="00463B7D">
        <w:rPr>
          <w:rFonts w:asciiTheme="majorHAnsi" w:eastAsia="MS PGothic" w:hAnsiTheme="majorHAnsi"/>
          <w:color w:val="595959" w:themeColor="text1" w:themeTint="A6"/>
          <w:kern w:val="24"/>
          <w:sz w:val="20"/>
          <w:lang w:eastAsia="fr-FR"/>
        </w:rPr>
        <w:t>d</w:t>
      </w:r>
      <w:r w:rsidR="00A15705" w:rsidRPr="00463B7D">
        <w:rPr>
          <w:rFonts w:asciiTheme="majorHAnsi" w:eastAsia="MS PGothic" w:hAnsiTheme="majorHAnsi"/>
          <w:color w:val="595959" w:themeColor="text1" w:themeTint="A6"/>
          <w:kern w:val="24"/>
          <w:sz w:val="20"/>
          <w:lang w:eastAsia="ja-JP"/>
        </w:rPr>
        <w:t>’</w:t>
      </w:r>
      <w:r w:rsidR="00A15705" w:rsidRPr="00463B7D">
        <w:rPr>
          <w:rFonts w:asciiTheme="majorHAnsi" w:eastAsia="MS PGothic" w:hAnsiTheme="majorHAnsi"/>
          <w:color w:val="595959" w:themeColor="text1" w:themeTint="A6"/>
          <w:kern w:val="24"/>
          <w:sz w:val="20"/>
          <w:lang w:eastAsia="fr-FR"/>
        </w:rPr>
        <w:t>industriels très dense, d</w:t>
      </w:r>
      <w:r w:rsidR="00A15705" w:rsidRPr="00463B7D">
        <w:rPr>
          <w:rFonts w:asciiTheme="majorHAnsi" w:hAnsiTheme="majorHAnsi"/>
          <w:bCs/>
          <w:color w:val="595959" w:themeColor="text1" w:themeTint="A6"/>
          <w:sz w:val="20"/>
        </w:rPr>
        <w:t xml:space="preserve">es entreprises industrielles locales </w:t>
      </w:r>
      <w:r w:rsidR="00A15705" w:rsidRPr="00463B7D">
        <w:rPr>
          <w:rFonts w:asciiTheme="majorHAnsi" w:hAnsiTheme="majorHAnsi"/>
          <w:color w:val="595959" w:themeColor="text1" w:themeTint="A6"/>
          <w:sz w:val="20"/>
        </w:rPr>
        <w:t xml:space="preserve">créatrices de richesse et d’emplois locaux directs non délocalisables. </w:t>
      </w:r>
      <w:hyperlink r:id="rId13" w:history="1">
        <w:r w:rsidR="00A15705" w:rsidRPr="00463B7D">
          <w:rPr>
            <w:rStyle w:val="Lienhypertexte"/>
            <w:rFonts w:asciiTheme="majorHAnsi" w:hAnsiTheme="majorHAnsi"/>
            <w:b/>
            <w:color w:val="595959" w:themeColor="text1" w:themeTint="A6"/>
            <w:sz w:val="20"/>
          </w:rPr>
          <w:t>www.fib.org</w:t>
        </w:r>
      </w:hyperlink>
    </w:p>
    <w:p w:rsidR="00C4090C" w:rsidRPr="00C4090C" w:rsidRDefault="00E45458" w:rsidP="00C4090C">
      <w:pPr>
        <w:spacing w:after="120"/>
        <w:ind w:left="-284" w:right="-290"/>
        <w:jc w:val="both"/>
        <w:rPr>
          <w:rFonts w:asciiTheme="majorHAnsi" w:hAnsiTheme="majorHAnsi"/>
          <w:b/>
          <w:color w:val="4F81BD" w:themeColor="accent1"/>
          <w:sz w:val="20"/>
        </w:rPr>
      </w:pPr>
      <w:r>
        <w:rPr>
          <w:rFonts w:asciiTheme="majorHAnsi" w:hAnsiTheme="majorHAnsi" w:cs="Times"/>
          <w:b/>
          <w:color w:val="595959" w:themeColor="text1" w:themeTint="A6"/>
          <w:sz w:val="20"/>
          <w:szCs w:val="20"/>
        </w:rPr>
        <w:t>À propos du</w:t>
      </w:r>
      <w:r w:rsidR="00A15705" w:rsidRPr="002D3B35">
        <w:rPr>
          <w:rFonts w:asciiTheme="majorHAnsi" w:hAnsiTheme="majorHAnsi" w:cs="Times"/>
          <w:b/>
          <w:color w:val="595959" w:themeColor="text1" w:themeTint="A6"/>
          <w:sz w:val="20"/>
          <w:szCs w:val="20"/>
        </w:rPr>
        <w:t xml:space="preserve"> Centre d’Études et de Recherc</w:t>
      </w:r>
      <w:r w:rsidR="0042157A">
        <w:rPr>
          <w:rFonts w:asciiTheme="majorHAnsi" w:hAnsiTheme="majorHAnsi" w:cs="Times"/>
          <w:b/>
          <w:color w:val="595959" w:themeColor="text1" w:themeTint="A6"/>
          <w:sz w:val="20"/>
          <w:szCs w:val="20"/>
        </w:rPr>
        <w:t>hes de l’Industrie du Béton (</w:t>
      </w:r>
      <w:proofErr w:type="spellStart"/>
      <w:r w:rsidR="0042157A">
        <w:rPr>
          <w:rFonts w:asciiTheme="majorHAnsi" w:hAnsiTheme="majorHAnsi" w:cs="Times"/>
          <w:b/>
          <w:color w:val="595959" w:themeColor="text1" w:themeTint="A6"/>
          <w:sz w:val="20"/>
          <w:szCs w:val="20"/>
        </w:rPr>
        <w:t>Cerib</w:t>
      </w:r>
      <w:proofErr w:type="spellEnd"/>
      <w:r w:rsidR="00A15705" w:rsidRPr="002D3B35">
        <w:rPr>
          <w:rFonts w:asciiTheme="majorHAnsi" w:hAnsiTheme="majorHAnsi" w:cs="Times"/>
          <w:color w:val="595959" w:themeColor="text1" w:themeTint="A6"/>
          <w:sz w:val="20"/>
          <w:szCs w:val="20"/>
        </w:rPr>
        <w:t xml:space="preserve">) est un Centre Technique Industriel, reconnu d’utilité publique et institué en 1967 conjointement par le ministre chargé de l’Industrie et par le ministre chargé de </w:t>
      </w:r>
      <w:proofErr w:type="gramStart"/>
      <w:r w:rsidR="00A15705" w:rsidRPr="002D3B35">
        <w:rPr>
          <w:rFonts w:asciiTheme="majorHAnsi" w:hAnsiTheme="majorHAnsi" w:cs="Times"/>
          <w:color w:val="595959" w:themeColor="text1" w:themeTint="A6"/>
          <w:sz w:val="20"/>
          <w:szCs w:val="20"/>
        </w:rPr>
        <w:t>l’Économie</w:t>
      </w:r>
      <w:proofErr w:type="gramEnd"/>
      <w:r w:rsidR="00A15705" w:rsidRPr="002D3B35">
        <w:rPr>
          <w:rFonts w:asciiTheme="majorHAnsi" w:hAnsiTheme="majorHAnsi" w:cs="Times"/>
          <w:color w:val="595959" w:themeColor="text1" w:themeTint="A6"/>
          <w:sz w:val="20"/>
          <w:szCs w:val="20"/>
        </w:rPr>
        <w:t xml:space="preserve"> et des Finances, à la demande de la Fédération de l’Industrie du Béton (FIB). Avec près de 170 collaborateurs et un haut niveau d’expertise, ses équipements d’essais des produits et matériaux du BTP se déploient sur 15 000 m</w:t>
      </w:r>
      <w:r w:rsidR="00A15705" w:rsidRPr="002D3B35">
        <w:rPr>
          <w:rFonts w:asciiTheme="majorHAnsi" w:hAnsiTheme="majorHAnsi" w:cs="Times"/>
          <w:color w:val="595959" w:themeColor="text1" w:themeTint="A6"/>
          <w:sz w:val="20"/>
          <w:szCs w:val="20"/>
          <w:vertAlign w:val="superscript"/>
        </w:rPr>
        <w:t>2</w:t>
      </w:r>
      <w:r w:rsidR="00A15705" w:rsidRPr="002D3B35">
        <w:rPr>
          <w:rFonts w:asciiTheme="majorHAnsi" w:hAnsiTheme="majorHAnsi" w:cs="Times"/>
          <w:color w:val="595959" w:themeColor="text1" w:themeTint="A6"/>
          <w:sz w:val="20"/>
          <w:szCs w:val="20"/>
        </w:rPr>
        <w:t xml:space="preserve"> de laboratoires. Le Centre exerce son activité entre essais et évaluations, études et recherches, normalisation et certification, appui technique et transfert de connaissances, et dispose d’un centre de formation. Opérateur de recherche du ministère de l’Éducation nationale, de l’Enseignement supérieur et de la Recherche, ses travaux de R&amp;D éligibles peuvent bénéficier du Crédit d’Impôt Recherche</w:t>
      </w:r>
      <w:r w:rsidR="00A15705" w:rsidRPr="002D3B35">
        <w:rPr>
          <w:rFonts w:asciiTheme="majorHAnsi" w:hAnsiTheme="majorHAnsi" w:cs="Times"/>
          <w:b/>
          <w:color w:val="595959" w:themeColor="text1" w:themeTint="A6"/>
          <w:sz w:val="20"/>
          <w:szCs w:val="20"/>
        </w:rPr>
        <w:t xml:space="preserve">. </w:t>
      </w:r>
      <w:hyperlink r:id="rId14" w:history="1">
        <w:r w:rsidR="00A15705" w:rsidRPr="002D3B35">
          <w:rPr>
            <w:rStyle w:val="Lienhypertexte"/>
            <w:rFonts w:asciiTheme="majorHAnsi" w:hAnsiTheme="majorHAnsi"/>
            <w:b/>
            <w:color w:val="595959" w:themeColor="text1" w:themeTint="A6"/>
            <w:sz w:val="20"/>
          </w:rPr>
          <w:t>www.cerib.com</w:t>
        </w:r>
      </w:hyperlink>
      <w:r w:rsidR="00A15705" w:rsidRPr="002D3B35">
        <w:rPr>
          <w:rFonts w:asciiTheme="majorHAnsi" w:hAnsiTheme="majorHAnsi"/>
          <w:b/>
          <w:color w:val="595959" w:themeColor="text1" w:themeTint="A6"/>
          <w:sz w:val="20"/>
        </w:rPr>
        <w:t xml:space="preserve"> </w:t>
      </w:r>
    </w:p>
    <w:p w:rsidR="00E45458" w:rsidRPr="00C4090C" w:rsidRDefault="00E45458" w:rsidP="00C4090C">
      <w:pPr>
        <w:spacing w:after="120"/>
        <w:ind w:left="-284" w:right="-290"/>
        <w:jc w:val="both"/>
        <w:rPr>
          <w:rFonts w:asciiTheme="majorHAnsi" w:hAnsiTheme="majorHAnsi"/>
          <w:b/>
          <w:color w:val="4F81BD" w:themeColor="accent1"/>
          <w:sz w:val="20"/>
        </w:rPr>
      </w:pPr>
      <w:r>
        <w:rPr>
          <w:rFonts w:asciiTheme="majorHAnsi" w:hAnsiTheme="majorHAnsi"/>
          <w:b/>
          <w:color w:val="595959" w:themeColor="text1" w:themeTint="A6"/>
          <w:sz w:val="20"/>
        </w:rPr>
        <w:t>À propos du</w:t>
      </w:r>
      <w:r w:rsidR="00A15705" w:rsidRPr="002D3B35">
        <w:rPr>
          <w:rFonts w:asciiTheme="majorHAnsi" w:hAnsiTheme="majorHAnsi"/>
          <w:b/>
          <w:color w:val="595959" w:themeColor="text1" w:themeTint="A6"/>
          <w:sz w:val="20"/>
        </w:rPr>
        <w:t xml:space="preserve"> Centre d’information sur le ciment et ses applications (</w:t>
      </w:r>
      <w:proofErr w:type="spellStart"/>
      <w:r w:rsidR="00A15705" w:rsidRPr="002D3B35">
        <w:rPr>
          <w:rFonts w:asciiTheme="majorHAnsi" w:hAnsiTheme="majorHAnsi"/>
          <w:b/>
          <w:color w:val="595959" w:themeColor="text1" w:themeTint="A6"/>
          <w:sz w:val="20"/>
        </w:rPr>
        <w:t>Cimbéton</w:t>
      </w:r>
      <w:proofErr w:type="spellEnd"/>
      <w:r w:rsidR="00A15705" w:rsidRPr="002D3B35">
        <w:rPr>
          <w:rFonts w:asciiTheme="majorHAnsi" w:hAnsiTheme="majorHAnsi"/>
          <w:b/>
          <w:color w:val="595959" w:themeColor="text1" w:themeTint="A6"/>
          <w:sz w:val="20"/>
        </w:rPr>
        <w:t xml:space="preserve">) </w:t>
      </w:r>
      <w:r w:rsidR="00A15705" w:rsidRPr="002D3B35">
        <w:rPr>
          <w:rFonts w:asciiTheme="majorHAnsi" w:hAnsiTheme="majorHAnsi"/>
          <w:color w:val="595959" w:themeColor="text1" w:themeTint="A6"/>
          <w:sz w:val="20"/>
        </w:rPr>
        <w:t xml:space="preserve">a pour mission de faire connaître les progrès techniques des ciments et des bétons dans tous les secteurs de la construction, bâtiment, travaux publics, génie civil. La filière béton offre une gamme très étendue de solutions constructives innovantes et </w:t>
      </w:r>
      <w:proofErr w:type="spellStart"/>
      <w:r w:rsidR="00A15705" w:rsidRPr="002D3B35">
        <w:rPr>
          <w:rFonts w:asciiTheme="majorHAnsi" w:hAnsiTheme="majorHAnsi"/>
          <w:color w:val="595959" w:themeColor="text1" w:themeTint="A6"/>
          <w:sz w:val="20"/>
        </w:rPr>
        <w:t>eco</w:t>
      </w:r>
      <w:proofErr w:type="spellEnd"/>
      <w:r w:rsidR="00A15705" w:rsidRPr="002D3B35">
        <w:rPr>
          <w:rFonts w:asciiTheme="majorHAnsi" w:hAnsiTheme="majorHAnsi"/>
          <w:color w:val="595959" w:themeColor="text1" w:themeTint="A6"/>
          <w:sz w:val="20"/>
        </w:rPr>
        <w:t>-performantes pour aménager durablement nos territoires et contribuer au bien-être de nos concitoyens. Tous les acteurs de la filière ont à cœur de contribuer à produire des logements sains, performants et accessibles, des transports doux et sobres en CO2, des infrastructures qui protègent, et créent du lien. Pour en savoir plus :</w:t>
      </w:r>
      <w:r w:rsidR="00A15705" w:rsidRPr="002D3B35">
        <w:rPr>
          <w:rFonts w:asciiTheme="majorHAnsi" w:hAnsiTheme="majorHAnsi"/>
          <w:sz w:val="20"/>
        </w:rPr>
        <w:t xml:space="preserve"> </w:t>
      </w:r>
      <w:hyperlink r:id="rId15" w:history="1">
        <w:r w:rsidR="00A15705" w:rsidRPr="002D3B35">
          <w:rPr>
            <w:rStyle w:val="Lienhypertexte"/>
            <w:rFonts w:asciiTheme="majorHAnsi" w:hAnsiTheme="majorHAnsi"/>
            <w:b/>
            <w:color w:val="595959" w:themeColor="text1" w:themeTint="A6"/>
            <w:sz w:val="20"/>
          </w:rPr>
          <w:t>www.infociments.fr</w:t>
        </w:r>
      </w:hyperlink>
    </w:p>
    <w:p w:rsidR="0051329B" w:rsidRPr="00C4090C" w:rsidRDefault="002D3B35" w:rsidP="00C4090C">
      <w:pPr>
        <w:spacing w:after="120"/>
        <w:ind w:left="-284" w:right="-290"/>
        <w:jc w:val="center"/>
        <w:rPr>
          <w:rFonts w:asciiTheme="majorHAnsi" w:hAnsiTheme="majorHAnsi" w:cs="Times"/>
          <w:color w:val="595959" w:themeColor="text1" w:themeTint="A6"/>
          <w:lang w:eastAsia="fr-FR"/>
        </w:rPr>
      </w:pPr>
      <w:r w:rsidRPr="002D3B35">
        <w:rPr>
          <w:rFonts w:asciiTheme="majorHAnsi" w:hAnsiTheme="majorHAnsi" w:cs="Verdana"/>
          <w:b/>
          <w:bCs/>
          <w:color w:val="CA277D"/>
        </w:rPr>
        <w:t>Service de presse</w:t>
      </w:r>
      <w:r w:rsidR="00A15705" w:rsidRPr="002D3B35">
        <w:rPr>
          <w:rFonts w:asciiTheme="majorHAnsi" w:hAnsiTheme="majorHAnsi" w:cs="Verdana"/>
          <w:bCs/>
          <w:color w:val="595959" w:themeColor="text1" w:themeTint="A6"/>
        </w:rPr>
        <w:t> </w:t>
      </w:r>
      <w:r w:rsidR="00A15705" w:rsidRPr="002D3B35">
        <w:rPr>
          <w:rFonts w:asciiTheme="majorHAnsi" w:hAnsiTheme="majorHAnsi" w:cs="Times"/>
          <w:color w:val="595959" w:themeColor="text1" w:themeTint="A6"/>
          <w:lang w:eastAsia="fr-FR"/>
        </w:rPr>
        <w:t xml:space="preserve">: Patricia </w:t>
      </w:r>
      <w:proofErr w:type="spellStart"/>
      <w:r w:rsidR="00A15705" w:rsidRPr="002D3B35">
        <w:rPr>
          <w:rFonts w:asciiTheme="majorHAnsi" w:hAnsiTheme="majorHAnsi" w:cs="Times"/>
          <w:color w:val="595959" w:themeColor="text1" w:themeTint="A6"/>
          <w:lang w:eastAsia="fr-FR"/>
        </w:rPr>
        <w:t>Desmerger</w:t>
      </w:r>
      <w:proofErr w:type="spellEnd"/>
      <w:r w:rsidR="00A15705" w:rsidRPr="002D3B35">
        <w:rPr>
          <w:rFonts w:asciiTheme="majorHAnsi" w:hAnsiTheme="majorHAnsi" w:cs="Times"/>
          <w:color w:val="595959" w:themeColor="text1" w:themeTint="A6"/>
          <w:lang w:eastAsia="fr-FR"/>
        </w:rPr>
        <w:t> </w:t>
      </w:r>
      <w:r w:rsidR="00A15705" w:rsidRPr="002D3B35">
        <w:rPr>
          <w:rFonts w:asciiTheme="majorHAnsi" w:hAnsiTheme="majorHAnsi" w:cs="Helvetica"/>
          <w:color w:val="595959" w:themeColor="text1" w:themeTint="A6"/>
          <w:lang w:eastAsia="fr-FR"/>
        </w:rPr>
        <w:t xml:space="preserve">: </w:t>
      </w:r>
      <w:r w:rsidR="00A15705" w:rsidRPr="002D3B35">
        <w:rPr>
          <w:rFonts w:asciiTheme="majorHAnsi" w:hAnsiTheme="majorHAnsi" w:cs="Times"/>
          <w:color w:val="595959" w:themeColor="text1" w:themeTint="A6"/>
          <w:lang w:eastAsia="fr-FR"/>
        </w:rPr>
        <w:t xml:space="preserve">06 07 47 34 77 </w:t>
      </w:r>
      <w:r w:rsidR="00A15705" w:rsidRPr="0042157A">
        <w:rPr>
          <w:rFonts w:asciiTheme="majorHAnsi" w:hAnsiTheme="majorHAnsi" w:cs="Times"/>
          <w:color w:val="595959" w:themeColor="text1" w:themeTint="A6"/>
          <w:lang w:eastAsia="fr-FR"/>
        </w:rPr>
        <w:t xml:space="preserve">- </w:t>
      </w:r>
      <w:r w:rsidR="00981D05" w:rsidRPr="00C4090C">
        <w:rPr>
          <w:rFonts w:asciiTheme="majorHAnsi" w:hAnsiTheme="majorHAnsi" w:cs="Times"/>
          <w:lang w:eastAsia="fr-FR"/>
        </w:rPr>
        <w:t>patricia.desmerger@orange.f</w:t>
      </w:r>
      <w:r w:rsidR="00C4090C">
        <w:rPr>
          <w:rFonts w:asciiTheme="majorHAnsi" w:hAnsiTheme="majorHAnsi" w:cs="Times"/>
          <w:lang w:eastAsia="fr-FR"/>
        </w:rPr>
        <w:t>r</w:t>
      </w:r>
    </w:p>
    <w:sectPr w:rsidR="0051329B" w:rsidRPr="00C4090C" w:rsidSect="00C4090C">
      <w:footerReference w:type="even" r:id="rId16"/>
      <w:footerReference w:type="default" r:id="rId17"/>
      <w:pgSz w:w="11900" w:h="16840"/>
      <w:pgMar w:top="0" w:right="985" w:bottom="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7BC" w:rsidRDefault="001807BC">
      <w:pPr>
        <w:spacing w:after="0" w:line="240" w:lineRule="auto"/>
      </w:pPr>
      <w:r>
        <w:separator/>
      </w:r>
    </w:p>
  </w:endnote>
  <w:endnote w:type="continuationSeparator" w:id="0">
    <w:p w:rsidR="001807BC" w:rsidRDefault="0018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185" w:rsidRDefault="00B65185" w:rsidP="00C677C9">
    <w:pPr>
      <w:pStyle w:val="Pieddepage"/>
      <w:framePr w:wrap="around" w:vAnchor="text" w:hAnchor="margin" w:xAlign="right" w:y="1"/>
      <w:rPr>
        <w:rStyle w:val="Numrodepage"/>
        <w:sz w:val="22"/>
        <w:szCs w:val="22"/>
      </w:rPr>
    </w:pPr>
    <w:r>
      <w:rPr>
        <w:rStyle w:val="Numrodepage"/>
      </w:rPr>
      <w:fldChar w:fldCharType="begin"/>
    </w:r>
    <w:r>
      <w:rPr>
        <w:rStyle w:val="Numrodepage"/>
      </w:rPr>
      <w:instrText xml:space="preserve">PAGE  </w:instrText>
    </w:r>
    <w:r>
      <w:rPr>
        <w:rStyle w:val="Numrodepage"/>
      </w:rPr>
      <w:fldChar w:fldCharType="end"/>
    </w:r>
  </w:p>
  <w:p w:rsidR="00B65185" w:rsidRDefault="00B65185" w:rsidP="00C677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185" w:rsidRDefault="00B65185" w:rsidP="00C677C9">
    <w:pPr>
      <w:pStyle w:val="Pieddepage"/>
      <w:framePr w:wrap="around" w:vAnchor="text" w:hAnchor="margin" w:xAlign="right" w:y="1"/>
      <w:rPr>
        <w:rStyle w:val="Numrodepage"/>
        <w:sz w:val="22"/>
        <w:szCs w:val="22"/>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B65185" w:rsidRDefault="00B65185" w:rsidP="00C677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7BC" w:rsidRDefault="001807BC">
      <w:pPr>
        <w:spacing w:after="0" w:line="240" w:lineRule="auto"/>
      </w:pPr>
      <w:r>
        <w:separator/>
      </w:r>
    </w:p>
  </w:footnote>
  <w:footnote w:type="continuationSeparator" w:id="0">
    <w:p w:rsidR="001807BC" w:rsidRDefault="00180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D1512"/>
    <w:multiLevelType w:val="hybridMultilevel"/>
    <w:tmpl w:val="087CED8A"/>
    <w:lvl w:ilvl="0" w:tplc="040C0005">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 w15:restartNumberingAfterBreak="0">
    <w:nsid w:val="14413AC7"/>
    <w:multiLevelType w:val="hybridMultilevel"/>
    <w:tmpl w:val="BEB2657E"/>
    <w:lvl w:ilvl="0" w:tplc="D56C3048">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F95A4C"/>
    <w:multiLevelType w:val="hybridMultilevel"/>
    <w:tmpl w:val="F7E26004"/>
    <w:lvl w:ilvl="0" w:tplc="CB7E5AC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CC2DB5"/>
    <w:multiLevelType w:val="hybridMultilevel"/>
    <w:tmpl w:val="26A00BEE"/>
    <w:lvl w:ilvl="0" w:tplc="DE5E613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AB27A8"/>
    <w:multiLevelType w:val="multilevel"/>
    <w:tmpl w:val="1082B5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606428"/>
    <w:multiLevelType w:val="multilevel"/>
    <w:tmpl w:val="4C72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23161D"/>
    <w:multiLevelType w:val="multilevel"/>
    <w:tmpl w:val="F224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51329B"/>
    <w:rsid w:val="00167414"/>
    <w:rsid w:val="00172435"/>
    <w:rsid w:val="001807BC"/>
    <w:rsid w:val="00272912"/>
    <w:rsid w:val="002D3B35"/>
    <w:rsid w:val="0042157A"/>
    <w:rsid w:val="004532F8"/>
    <w:rsid w:val="00463B7D"/>
    <w:rsid w:val="004A7C46"/>
    <w:rsid w:val="0051329B"/>
    <w:rsid w:val="005322B1"/>
    <w:rsid w:val="00660155"/>
    <w:rsid w:val="006D04F9"/>
    <w:rsid w:val="00703F70"/>
    <w:rsid w:val="007867A6"/>
    <w:rsid w:val="00934D47"/>
    <w:rsid w:val="00981D05"/>
    <w:rsid w:val="00A15705"/>
    <w:rsid w:val="00B65185"/>
    <w:rsid w:val="00B97941"/>
    <w:rsid w:val="00C30258"/>
    <w:rsid w:val="00C4090C"/>
    <w:rsid w:val="00C677C9"/>
    <w:rsid w:val="00E26737"/>
    <w:rsid w:val="00E45458"/>
    <w:rsid w:val="00F43AB5"/>
    <w:rsid w:val="00F80E6A"/>
    <w:rsid w:val="00FB6395"/>
    <w:rsid w:val="00FF60F6"/>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AA29F7"/>
  <w15:docId w15:val="{6DC803F7-067A-48D9-A45B-B281430F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29B"/>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329B"/>
    <w:pPr>
      <w:ind w:left="720"/>
      <w:contextualSpacing/>
    </w:pPr>
  </w:style>
  <w:style w:type="character" w:styleId="Lienhypertexte">
    <w:name w:val="Hyperlink"/>
    <w:basedOn w:val="Policepardfaut"/>
    <w:uiPriority w:val="99"/>
    <w:unhideWhenUsed/>
    <w:rsid w:val="0051329B"/>
    <w:rPr>
      <w:color w:val="0000FF" w:themeColor="hyperlink"/>
      <w:u w:val="single"/>
    </w:rPr>
  </w:style>
  <w:style w:type="character" w:customStyle="1" w:styleId="Mentionnonrsolue1">
    <w:name w:val="Mention non résolue1"/>
    <w:basedOn w:val="Policepardfaut"/>
    <w:uiPriority w:val="99"/>
    <w:semiHidden/>
    <w:unhideWhenUsed/>
    <w:rsid w:val="0051329B"/>
    <w:rPr>
      <w:color w:val="605E5C"/>
      <w:shd w:val="clear" w:color="auto" w:fill="E1DFDD"/>
    </w:rPr>
  </w:style>
  <w:style w:type="character" w:styleId="Lienhypertextesuivivisit">
    <w:name w:val="FollowedHyperlink"/>
    <w:basedOn w:val="Policepardfaut"/>
    <w:uiPriority w:val="99"/>
    <w:semiHidden/>
    <w:unhideWhenUsed/>
    <w:rsid w:val="0051329B"/>
    <w:rPr>
      <w:color w:val="800080" w:themeColor="followedHyperlink"/>
      <w:u w:val="single"/>
    </w:rPr>
  </w:style>
  <w:style w:type="paragraph" w:styleId="Pieddepage">
    <w:name w:val="footer"/>
    <w:basedOn w:val="Normal"/>
    <w:link w:val="PieddepageCar"/>
    <w:uiPriority w:val="99"/>
    <w:semiHidden/>
    <w:unhideWhenUsed/>
    <w:rsid w:val="00A15705"/>
    <w:pPr>
      <w:tabs>
        <w:tab w:val="center" w:pos="4536"/>
        <w:tab w:val="right" w:pos="9072"/>
      </w:tabs>
      <w:spacing w:after="0" w:line="240" w:lineRule="auto"/>
    </w:pPr>
    <w:rPr>
      <w:sz w:val="24"/>
      <w:szCs w:val="24"/>
    </w:rPr>
  </w:style>
  <w:style w:type="character" w:customStyle="1" w:styleId="PieddepageCar">
    <w:name w:val="Pied de page Car"/>
    <w:basedOn w:val="Policepardfaut"/>
    <w:link w:val="Pieddepage"/>
    <w:uiPriority w:val="99"/>
    <w:semiHidden/>
    <w:rsid w:val="00A15705"/>
    <w:rPr>
      <w:sz w:val="24"/>
      <w:szCs w:val="24"/>
    </w:rPr>
  </w:style>
  <w:style w:type="paragraph" w:customStyle="1" w:styleId="Paragraphedeliste1">
    <w:name w:val="Paragraphe de liste1"/>
    <w:basedOn w:val="Normal"/>
    <w:rsid w:val="00A15705"/>
    <w:pPr>
      <w:ind w:left="720"/>
      <w:contextualSpacing/>
    </w:pPr>
    <w:rPr>
      <w:rFonts w:ascii="Calibri" w:eastAsia="Times New Roman" w:hAnsi="Calibri" w:cs="Times New Roman"/>
      <w:sz w:val="24"/>
    </w:rPr>
  </w:style>
  <w:style w:type="paragraph" w:styleId="NormalWeb">
    <w:name w:val="Normal (Web)"/>
    <w:basedOn w:val="Normal"/>
    <w:uiPriority w:val="99"/>
    <w:rsid w:val="00A15705"/>
    <w:pPr>
      <w:spacing w:beforeLines="1" w:afterLines="1" w:line="240" w:lineRule="auto"/>
    </w:pPr>
    <w:rPr>
      <w:rFonts w:ascii="Times" w:hAnsi="Times" w:cs="Times New Roman"/>
      <w:sz w:val="20"/>
      <w:szCs w:val="20"/>
      <w:lang w:eastAsia="fr-FR"/>
    </w:rPr>
  </w:style>
  <w:style w:type="character" w:styleId="Numrodepage">
    <w:name w:val="page number"/>
    <w:basedOn w:val="Policepardfaut"/>
    <w:uiPriority w:val="99"/>
    <w:semiHidden/>
    <w:unhideWhenUsed/>
    <w:rsid w:val="00C67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ib.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infociments.fr"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erib.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1294</Words>
  <Characters>7119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Campagne</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Desmerger</dc:creator>
  <cp:keywords/>
  <cp:lastModifiedBy>THEBAULT Anouk</cp:lastModifiedBy>
  <cp:revision>3</cp:revision>
  <dcterms:created xsi:type="dcterms:W3CDTF">2019-01-03T09:05:00Z</dcterms:created>
  <dcterms:modified xsi:type="dcterms:W3CDTF">2019-01-09T16:54:00Z</dcterms:modified>
</cp:coreProperties>
</file>